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</w:rPr>
        <w:id w:val="2099524885"/>
        <w:docPartObj>
          <w:docPartGallery w:val="Cover Pages"/>
          <w:docPartUnique/>
        </w:docPartObj>
      </w:sdtPr>
      <w:sdtEndPr/>
      <w:sdtContent>
        <w:p w:rsidR="00EF75DB" w:rsidRPr="00010A42" w:rsidRDefault="00EF75DB" w:rsidP="00AF1B8A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10A42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6A80FA2" wp14:editId="386CA41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6B843E6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9a9f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AF1B8A" w:rsidRPr="00010A42" w:rsidRDefault="003A7210" w:rsidP="00AF1B8A">
          <w:pPr>
            <w:spacing w:after="0" w:line="240" w:lineRule="auto"/>
            <w:rPr>
              <w:rFonts w:ascii="Arial" w:hAnsi="Arial" w:cs="Arial"/>
              <w:sz w:val="20"/>
              <w:szCs w:val="20"/>
            </w:rPr>
            <w:sectPr w:rsidR="00AF1B8A" w:rsidRPr="00010A42" w:rsidSect="00EF75DB">
              <w:headerReference w:type="default" r:id="rId11"/>
              <w:footerReference w:type="even" r:id="rId12"/>
              <w:footerReference w:type="default" r:id="rId13"/>
              <w:footerReference w:type="first" r:id="rId14"/>
              <w:pgSz w:w="11907" w:h="16840" w:code="9"/>
              <w:pgMar w:top="1985" w:right="1134" w:bottom="1985" w:left="1418" w:header="567" w:footer="567" w:gutter="0"/>
              <w:pgNumType w:start="0"/>
              <w:cols w:space="720"/>
              <w:titlePg/>
              <w:docGrid w:linePitch="360"/>
            </w:sectPr>
          </w:pPr>
          <w:r w:rsidRPr="00010A42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E042A7" wp14:editId="4869C5E7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1611630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2E60" w:rsidRPr="001C2ACA" w:rsidRDefault="00442EC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59A9F2" w:themeColor="accent1"/>
                                    <w:sz w:val="64"/>
                                    <w:szCs w:val="64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9A9F2" w:themeColor="accent1"/>
                                      <w:sz w:val="36"/>
                                      <w:szCs w:val="36"/>
                                      <w:lang w:val="fr-FR"/>
                                    </w:rPr>
                                    <w:alias w:val="Title"/>
                                    <w:tag w:val=""/>
                                    <w:id w:val="-454570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E2E60" w:rsidRPr="001C2ACA">
                                      <w:rPr>
                                        <w:rFonts w:ascii="Arial" w:hAnsi="Arial" w:cs="Arial"/>
                                        <w:caps/>
                                        <w:color w:val="59A9F2" w:themeColor="accent1"/>
                                        <w:sz w:val="36"/>
                                        <w:szCs w:val="36"/>
                                        <w:lang w:val="fr-FR"/>
                                      </w:rPr>
                                      <w:t xml:space="preserve">Zentiva </w:t>
                                    </w:r>
                                    <w:r w:rsidR="00CE2E60" w:rsidRPr="001C2ACA">
                                      <w:rPr>
                                        <w:rFonts w:ascii="Arial" w:hAnsi="Arial" w:cs="Arial"/>
                                        <w:caps/>
                                        <w:color w:val="59A9F2" w:themeColor="accent1"/>
                                        <w:sz w:val="36"/>
                                        <w:szCs w:val="36"/>
                                        <w:lang w:val="fr-FR"/>
                                      </w:rPr>
                                      <w:br/>
                                      <w:t>Exercitiul financiar 2018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36"/>
                                    <w:szCs w:val="36"/>
                                    <w:lang w:val="fr-FR"/>
                                  </w:rPr>
                                  <w:alias w:val="Subtitle"/>
                                  <w:tag w:val=""/>
                                  <w:id w:val="16945042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E2E60" w:rsidRPr="001C2ACA" w:rsidRDefault="00CE2E6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FR"/>
                                      </w:rPr>
                                    </w:pPr>
                                    <w:r w:rsidRPr="001C2ACA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FR"/>
                                      </w:rPr>
                                      <w:t>Raport non-financiar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AE042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21.6pt;margin-top:126.9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" filled="f" stroked="f" strokeweight=".5pt">
                    <v:textbox inset="126pt,0,54pt,0">
                      <w:txbxContent>
                        <w:p w:rsidR="00CE2E60" w:rsidRPr="001C2ACA" w:rsidRDefault="00CE2E60">
                          <w:pPr>
                            <w:jc w:val="right"/>
                            <w:rPr>
                              <w:rFonts w:ascii="Arial" w:hAnsi="Arial" w:cs="Arial"/>
                              <w:color w:val="59A9F2" w:themeColor="accent1"/>
                              <w:sz w:val="64"/>
                              <w:szCs w:val="64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9A9F2" w:themeColor="accent1"/>
                                <w:sz w:val="36"/>
                                <w:szCs w:val="36"/>
                                <w:lang w:val="fr-FR"/>
                              </w:rPr>
                              <w:alias w:val="Title"/>
                              <w:tag w:val=""/>
                              <w:id w:val="-454570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1C2ACA">
                                <w:rPr>
                                  <w:rFonts w:ascii="Arial" w:hAnsi="Arial" w:cs="Arial"/>
                                  <w:caps/>
                                  <w:color w:val="59A9F2" w:themeColor="accent1"/>
                                  <w:sz w:val="36"/>
                                  <w:szCs w:val="36"/>
                                  <w:lang w:val="fr-FR"/>
                                </w:rPr>
                                <w:t xml:space="preserve">Zentiva </w:t>
                              </w:r>
                              <w:r w:rsidRPr="001C2ACA">
                                <w:rPr>
                                  <w:rFonts w:ascii="Arial" w:hAnsi="Arial" w:cs="Arial"/>
                                  <w:caps/>
                                  <w:color w:val="59A9F2" w:themeColor="accent1"/>
                                  <w:sz w:val="36"/>
                                  <w:szCs w:val="36"/>
                                  <w:lang w:val="fr-FR"/>
                                </w:rPr>
                                <w:br/>
                                <w:t>Exercitiul financiar 2018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36"/>
                              <w:szCs w:val="36"/>
                              <w:lang w:val="fr-FR"/>
                            </w:rPr>
                            <w:alias w:val="Subtitle"/>
                            <w:tag w:val=""/>
                            <w:id w:val="16945042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CE2E60" w:rsidRPr="001C2ACA" w:rsidRDefault="00CE2E60">
                              <w:pPr>
                                <w:jc w:val="right"/>
                                <w:rPr>
                                  <w:rFonts w:ascii="Arial" w:hAnsi="Arial" w:cs="Arial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1C2ACA"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  <w:lang w:val="fr-FR"/>
                                </w:rPr>
                                <w:t>Raport non-financiar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F75DB" w:rsidRPr="00010A42">
            <w:rPr>
              <w:rFonts w:ascii="Arial" w:hAnsi="Arial" w:cs="Arial"/>
              <w:sz w:val="20"/>
              <w:szCs w:val="20"/>
            </w:rPr>
            <w:br w:type="page"/>
          </w:r>
        </w:p>
        <w:p w:rsidR="00EF75DB" w:rsidRPr="00010A42" w:rsidRDefault="00442EC7" w:rsidP="00AF1B8A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Theme="minorHAnsi" w:eastAsia="Times New Roman" w:hAnsiTheme="minorHAnsi" w:cs="Arial"/>
          <w:b w:val="0"/>
          <w:color w:val="auto"/>
          <w:sz w:val="22"/>
          <w:szCs w:val="20"/>
        </w:rPr>
        <w:id w:val="-1999721198"/>
        <w:docPartObj>
          <w:docPartGallery w:val="Table of Contents"/>
          <w:docPartUnique/>
        </w:docPartObj>
      </w:sdtPr>
      <w:sdtEndPr>
        <w:rPr>
          <w:rFonts w:eastAsiaTheme="minorEastAsia"/>
          <w:bCs/>
          <w:noProof/>
        </w:rPr>
      </w:sdtEndPr>
      <w:sdtContent>
        <w:p w:rsidR="00EF75DB" w:rsidRPr="00010A42" w:rsidRDefault="00045277" w:rsidP="00F22A14">
          <w:pPr>
            <w:pStyle w:val="TOCHeading"/>
            <w:spacing w:before="0" w:after="0"/>
            <w:rPr>
              <w:rFonts w:cs="Arial"/>
              <w:szCs w:val="20"/>
            </w:rPr>
          </w:pPr>
          <w:r w:rsidRPr="00010A42">
            <w:rPr>
              <w:rFonts w:cs="Arial"/>
              <w:szCs w:val="20"/>
            </w:rPr>
            <w:t>CUPRINS</w:t>
          </w:r>
        </w:p>
        <w:p w:rsidR="00F22A14" w:rsidRPr="00010A42" w:rsidRDefault="00F22A14" w:rsidP="00F22A14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F22A14" w:rsidRPr="00010A42" w:rsidRDefault="00F22A14" w:rsidP="00F22A14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F22A14" w:rsidRPr="00010A42" w:rsidRDefault="00EF75DB" w:rsidP="00F22A14">
          <w:pPr>
            <w:pStyle w:val="TOC1"/>
            <w:tabs>
              <w:tab w:val="left" w:pos="284"/>
              <w:tab w:val="right" w:leader="dot" w:pos="9345"/>
            </w:tabs>
            <w:spacing w:after="0" w:line="240" w:lineRule="auto"/>
            <w:rPr>
              <w:rFonts w:ascii="Arial" w:hAnsi="Arial" w:cs="Arial"/>
              <w:b w:val="0"/>
              <w:bCs w:val="0"/>
              <w:noProof/>
              <w:color w:val="auto"/>
              <w:sz w:val="20"/>
              <w:szCs w:val="20"/>
            </w:rPr>
          </w:pPr>
          <w:r w:rsidRPr="00010A42">
            <w:rPr>
              <w:rFonts w:ascii="Arial" w:hAnsi="Arial" w:cs="Arial"/>
              <w:sz w:val="20"/>
              <w:szCs w:val="20"/>
            </w:rPr>
            <w:fldChar w:fldCharType="begin"/>
          </w:r>
          <w:r w:rsidRPr="00010A42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010A42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2461569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1.</w:t>
            </w:r>
            <w:r w:rsidR="00F22A14" w:rsidRPr="00010A42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Introducere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_Toc12461569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1"/>
            <w:tabs>
              <w:tab w:val="left" w:pos="284"/>
              <w:tab w:val="right" w:leader="dot" w:pos="9345"/>
            </w:tabs>
            <w:spacing w:after="0" w:line="240" w:lineRule="auto"/>
            <w:rPr>
              <w:rFonts w:ascii="Arial" w:hAnsi="Arial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12461570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</w:t>
            </w:r>
            <w:r w:rsidR="00F22A14" w:rsidRPr="00010A42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Activitatea companiei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_Toc12461570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571" w:history="1">
            <w:r w:rsidR="00F22A14" w:rsidRPr="00010A42">
              <w:rPr>
                <w:rStyle w:val="Hyperlink"/>
              </w:rPr>
              <w:t>2.1 Actiuni si actionari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_Toc12461571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2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574" w:history="1">
            <w:r w:rsidR="00F22A14" w:rsidRPr="00010A42">
              <w:rPr>
                <w:rStyle w:val="Hyperlink"/>
              </w:rPr>
              <w:t>2.2 Mediul economic si financiar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_Toc12461574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4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75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2.2.1 Industria farmaceutica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_Toc12461575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76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2.2.2 Activitatea companiei in 2018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_Toc12461576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rStyle w:val="Hyperlink"/>
            </w:rPr>
          </w:pPr>
          <w:hyperlink w:anchor="_Toc12461578" w:history="1">
            <w:r w:rsidR="00F22A14" w:rsidRPr="00010A42">
              <w:rPr>
                <w:rStyle w:val="Hyperlink"/>
              </w:rPr>
              <w:t>2.3 Portfoliul de produse si piata de desfacere</w:t>
            </w:r>
            <w:r w:rsidR="00F22A14" w:rsidRPr="00010A42">
              <w:rPr>
                <w:rStyle w:val="Hyperlink"/>
                <w:webHidden/>
              </w:rPr>
              <w:tab/>
            </w:r>
            <w:r w:rsidR="00F22A14" w:rsidRPr="00010A42">
              <w:rPr>
                <w:rStyle w:val="Hyperlink"/>
                <w:webHidden/>
              </w:rPr>
              <w:fldChar w:fldCharType="begin"/>
            </w:r>
            <w:r w:rsidR="00F22A14" w:rsidRPr="00010A42">
              <w:rPr>
                <w:rStyle w:val="Hyperlink"/>
                <w:webHidden/>
              </w:rPr>
              <w:instrText xml:space="preserve"> PAGEREF _Toc12461578 \h </w:instrText>
            </w:r>
            <w:r w:rsidR="00F22A14" w:rsidRPr="00010A42">
              <w:rPr>
                <w:rStyle w:val="Hyperlink"/>
                <w:webHidden/>
              </w:rPr>
            </w:r>
            <w:r w:rsidR="00F22A14" w:rsidRPr="00010A42">
              <w:rPr>
                <w:rStyle w:val="Hyperlink"/>
                <w:webHidden/>
              </w:rPr>
              <w:fldChar w:fldCharType="separate"/>
            </w:r>
            <w:r w:rsidR="009079E0" w:rsidRPr="00010A42">
              <w:rPr>
                <w:rStyle w:val="Hyperlink"/>
                <w:webHidden/>
              </w:rPr>
              <w:t>5</w:t>
            </w:r>
            <w:r w:rsidR="00F22A14" w:rsidRPr="00010A42">
              <w:rPr>
                <w:rStyle w:val="Hyperlink"/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79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2.3.1. Baza de raportare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_Toc12461579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80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2.3.2. Portofoliul si piete de distributie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_Toc12461580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rStyle w:val="Hyperlink"/>
            </w:rPr>
          </w:pPr>
          <w:hyperlink w:anchor="_Toc12461582" w:history="1">
            <w:r w:rsidR="00F22A14" w:rsidRPr="00010A42">
              <w:rPr>
                <w:rStyle w:val="Hyperlink"/>
              </w:rPr>
              <w:t>2.4 Objective pentru anul 2018</w:t>
            </w:r>
            <w:r w:rsidR="00F22A14" w:rsidRPr="00010A42">
              <w:rPr>
                <w:rStyle w:val="Hyperlink"/>
                <w:webHidden/>
              </w:rPr>
              <w:tab/>
            </w:r>
            <w:r w:rsidR="00F22A14" w:rsidRPr="00010A42">
              <w:rPr>
                <w:rStyle w:val="Hyperlink"/>
                <w:webHidden/>
              </w:rPr>
              <w:fldChar w:fldCharType="begin"/>
            </w:r>
            <w:r w:rsidR="00F22A14" w:rsidRPr="00010A42">
              <w:rPr>
                <w:rStyle w:val="Hyperlink"/>
                <w:webHidden/>
              </w:rPr>
              <w:instrText xml:space="preserve"> PAGEREF _Toc12461582 \h </w:instrText>
            </w:r>
            <w:r w:rsidR="00F22A14" w:rsidRPr="00010A42">
              <w:rPr>
                <w:rStyle w:val="Hyperlink"/>
                <w:webHidden/>
              </w:rPr>
            </w:r>
            <w:r w:rsidR="00F22A14" w:rsidRPr="00010A42">
              <w:rPr>
                <w:rStyle w:val="Hyperlink"/>
                <w:webHidden/>
              </w:rPr>
              <w:fldChar w:fldCharType="separate"/>
            </w:r>
            <w:r w:rsidR="009079E0" w:rsidRPr="00010A42">
              <w:rPr>
                <w:rStyle w:val="Hyperlink"/>
                <w:webHidden/>
              </w:rPr>
              <w:t>6</w:t>
            </w:r>
            <w:r w:rsidR="00F22A14" w:rsidRPr="00010A42">
              <w:rPr>
                <w:rStyle w:val="Hyperlink"/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1"/>
            <w:tabs>
              <w:tab w:val="left" w:pos="284"/>
              <w:tab w:val="right" w:leader="dot" w:pos="9345"/>
            </w:tabs>
            <w:spacing w:after="0" w:line="240" w:lineRule="auto"/>
            <w:rPr>
              <w:rFonts w:ascii="Arial" w:hAnsi="Arial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12461583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</w:t>
            </w:r>
            <w:r w:rsidR="00F22A14" w:rsidRPr="00010A42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Etica si integritatea in afaceri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_Toc12461583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585" w:history="1">
            <w:r w:rsidR="00F22A14" w:rsidRPr="00010A42">
              <w:rPr>
                <w:rStyle w:val="Hyperlink"/>
              </w:rPr>
              <w:t>3.1 Etica medicala si transparenta datelor medicale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_Toc12461585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7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1"/>
            <w:tabs>
              <w:tab w:val="left" w:pos="284"/>
              <w:tab w:val="right" w:leader="dot" w:pos="9345"/>
            </w:tabs>
            <w:spacing w:after="0" w:line="240" w:lineRule="auto"/>
            <w:rPr>
              <w:rFonts w:ascii="Arial" w:hAnsi="Arial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12461586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</w:t>
            </w:r>
            <w:r w:rsidR="00F22A14" w:rsidRPr="00010A42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 xml:space="preserve">Sustenabilitate si protectia mediului (Sanatate, siguranta si mediu - </w:t>
            </w:r>
            <w:r w:rsidR="007C7B63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EHS</w:t>
            </w:r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)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_Toc12461586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588" w:history="1">
            <w:r w:rsidR="00F22A14" w:rsidRPr="00010A42">
              <w:rPr>
                <w:rStyle w:val="Hyperlink"/>
              </w:rPr>
              <w:t>4.1 Evaluarea riscurilor si a impactului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_Toc12461588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9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590" w:history="1">
            <w:r w:rsidR="00F22A14" w:rsidRPr="00010A42">
              <w:rPr>
                <w:rStyle w:val="Hyperlink"/>
              </w:rPr>
              <w:t>4.2 Instruire si initiative de constientizare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_Toc12461590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10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591" w:history="1">
            <w:r w:rsidR="00F22A14" w:rsidRPr="00010A42">
              <w:rPr>
                <w:rStyle w:val="Hyperlink"/>
              </w:rPr>
              <w:t>4.3 Sanatate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_Toc12461591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10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92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4.3.1 Managementul riscurilor asociate substantelor folosite in procesul de fabricare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_Toc12461592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94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4.3.2 Managementul riscurilor de sanatate aferente statiilor de lucru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_Toc12461594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95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4.3.3 Programele de prevenire a accidentelor de munca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_Toc12461595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597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4.3.4 Invatarea din experienta (“ LEX”)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_Toc12461597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1"/>
            <w:tabs>
              <w:tab w:val="left" w:pos="284"/>
              <w:tab w:val="right" w:leader="dot" w:pos="9345"/>
            </w:tabs>
            <w:spacing w:after="0" w:line="240" w:lineRule="auto"/>
            <w:rPr>
              <w:rFonts w:ascii="Arial" w:hAnsi="Arial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12461598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</w:t>
            </w:r>
            <w:r w:rsidR="00F22A14" w:rsidRPr="00010A42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Informatii privind protectia mediului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_Toc12461598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600" w:history="1">
            <w:r w:rsidR="00F22A14" w:rsidRPr="00010A42">
              <w:rPr>
                <w:rStyle w:val="Hyperlink"/>
              </w:rPr>
              <w:t>5.1 Eficienta energetica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_Toc12461600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13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601" w:history="1">
            <w:r w:rsidR="00F22A14" w:rsidRPr="00010A42">
              <w:rPr>
                <w:rStyle w:val="Hyperlink"/>
              </w:rPr>
              <w:t>5.2 Consumul de apa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_Toc12461601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13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603" w:history="1">
            <w:r w:rsidR="00F22A14" w:rsidRPr="00010A42">
              <w:rPr>
                <w:rStyle w:val="Hyperlink"/>
              </w:rPr>
              <w:t>5.3 Gestionarea evacuarii apelor uzate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_Toc12461603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14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604" w:history="1">
            <w:r w:rsidR="00F22A14" w:rsidRPr="00010A42">
              <w:rPr>
                <w:rStyle w:val="Hyperlink"/>
              </w:rPr>
              <w:t>5.4 Deseuri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_Toc12461604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14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606" w:history="1">
            <w:r w:rsidR="00F22A14" w:rsidRPr="00010A42">
              <w:rPr>
                <w:rStyle w:val="Hyperlink"/>
              </w:rPr>
              <w:t>5.5 Angajamentul fata de reducerea deseurilor alimentare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_Toc12461606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15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1"/>
            <w:tabs>
              <w:tab w:val="left" w:pos="284"/>
              <w:tab w:val="right" w:leader="dot" w:pos="9345"/>
            </w:tabs>
            <w:spacing w:after="0" w:line="240" w:lineRule="auto"/>
            <w:rPr>
              <w:rFonts w:ascii="Arial" w:hAnsi="Arial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12461607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6.</w:t>
            </w:r>
            <w:r w:rsidR="00F22A14" w:rsidRPr="00010A42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Angajamente sociale si diversitate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_Toc12461607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608" w:history="1">
            <w:r w:rsidR="00F22A14" w:rsidRPr="00010A42">
              <w:rPr>
                <w:rStyle w:val="Hyperlink"/>
              </w:rPr>
              <w:t>6.1 Initiative de sprijin pentru drepturile omului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_Toc12461608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15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2"/>
            <w:rPr>
              <w:lang w:val="en-US"/>
            </w:rPr>
          </w:pPr>
          <w:hyperlink w:anchor="_Toc12461609" w:history="1">
            <w:r w:rsidR="00F22A14" w:rsidRPr="00010A42">
              <w:rPr>
                <w:rStyle w:val="Hyperlink"/>
              </w:rPr>
              <w:t>6.2 Angajatii</w:t>
            </w:r>
            <w:r w:rsidR="00F22A14" w:rsidRPr="00010A42">
              <w:rPr>
                <w:webHidden/>
              </w:rPr>
              <w:tab/>
            </w:r>
            <w:r w:rsidR="00F22A14" w:rsidRPr="00010A42">
              <w:rPr>
                <w:webHidden/>
              </w:rPr>
              <w:fldChar w:fldCharType="begin"/>
            </w:r>
            <w:r w:rsidR="00F22A14" w:rsidRPr="00010A42">
              <w:rPr>
                <w:webHidden/>
              </w:rPr>
              <w:instrText xml:space="preserve"> PAGEREF _Toc12461609 \h </w:instrText>
            </w:r>
            <w:r w:rsidR="00F22A14" w:rsidRPr="00010A42">
              <w:rPr>
                <w:webHidden/>
              </w:rPr>
            </w:r>
            <w:r w:rsidR="00F22A14" w:rsidRPr="00010A42">
              <w:rPr>
                <w:webHidden/>
              </w:rPr>
              <w:fldChar w:fldCharType="separate"/>
            </w:r>
            <w:r w:rsidR="009079E0" w:rsidRPr="00010A42">
              <w:rPr>
                <w:webHidden/>
              </w:rPr>
              <w:t>15</w:t>
            </w:r>
            <w:r w:rsidR="00F22A14" w:rsidRPr="00010A42">
              <w:rPr>
                <w:webHidden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610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6.2.1 Nediscriminare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_Toc12461610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612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6.2.2 Beneficiile angajatului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_Toc12461612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614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6.2.3 Dialogul social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_Toc12461614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17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22A14" w:rsidRPr="00010A42" w:rsidRDefault="00442EC7" w:rsidP="00F22A14">
          <w:pPr>
            <w:pStyle w:val="TOC3"/>
            <w:tabs>
              <w:tab w:val="right" w:leader="dot" w:pos="9345"/>
            </w:tabs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2461616" w:history="1">
            <w:r w:rsidR="00F22A14" w:rsidRPr="00010A4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6.2.4 Echilibrul dintre sexe si diversitatea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_Toc12461616 \h </w:instrTex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079E0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t>18</w:t>
            </w:r>
            <w:r w:rsidR="00F22A14" w:rsidRPr="00010A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94189" w:rsidRPr="00010A42" w:rsidRDefault="00EF75DB" w:rsidP="00F22A14">
          <w:pPr>
            <w:spacing w:after="0" w:line="240" w:lineRule="auto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010A42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D930F2" w:rsidRPr="00010A42" w:rsidRDefault="00D930F2" w:rsidP="00AF1B8A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010A42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br w:type="page"/>
      </w:r>
    </w:p>
    <w:p w:rsidR="00EF75DB" w:rsidRPr="00010A42" w:rsidRDefault="00075966" w:rsidP="00AF1B8A">
      <w:pPr>
        <w:pStyle w:val="Heading1"/>
        <w:numPr>
          <w:ilvl w:val="0"/>
          <w:numId w:val="2"/>
        </w:numPr>
        <w:spacing w:before="0" w:after="0"/>
        <w:ind w:left="567" w:hanging="283"/>
        <w:rPr>
          <w:rFonts w:cs="Arial"/>
          <w:color w:val="17406D" w:themeColor="text2"/>
          <w:szCs w:val="20"/>
        </w:rPr>
      </w:pPr>
      <w:bookmarkStart w:id="0" w:name="_Toc12461569"/>
      <w:r w:rsidRPr="00010A42">
        <w:rPr>
          <w:rFonts w:cs="Arial"/>
          <w:color w:val="17406D" w:themeColor="text2"/>
          <w:szCs w:val="20"/>
        </w:rPr>
        <w:lastRenderedPageBreak/>
        <w:t>Introduc</w:t>
      </w:r>
      <w:r w:rsidR="00804494" w:rsidRPr="00010A42">
        <w:rPr>
          <w:rFonts w:cs="Arial"/>
          <w:color w:val="17406D" w:themeColor="text2"/>
          <w:szCs w:val="20"/>
        </w:rPr>
        <w:t>ere</w:t>
      </w:r>
      <w:bookmarkEnd w:id="0"/>
    </w:p>
    <w:p w:rsidR="00075966" w:rsidRPr="00010A42" w:rsidRDefault="0007596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5966" w:rsidRPr="00010A42" w:rsidRDefault="00804494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Acest raport </w:t>
      </w:r>
      <w:r w:rsidR="00974E6B" w:rsidRPr="00010A42">
        <w:rPr>
          <w:rFonts w:ascii="Arial" w:hAnsi="Arial" w:cs="Arial"/>
          <w:sz w:val="20"/>
          <w:szCs w:val="20"/>
        </w:rPr>
        <w:t>a fost preg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974E6B" w:rsidRPr="00010A42">
        <w:rPr>
          <w:rFonts w:ascii="Arial" w:hAnsi="Arial" w:cs="Arial"/>
          <w:sz w:val="20"/>
          <w:szCs w:val="20"/>
        </w:rPr>
        <w:t xml:space="preserve">tit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="00974E6B" w:rsidRPr="00010A42">
        <w:rPr>
          <w:rFonts w:ascii="Arial" w:hAnsi="Arial" w:cs="Arial"/>
          <w:sz w:val="20"/>
          <w:szCs w:val="20"/>
        </w:rPr>
        <w:t>n concordan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="00974E6B" w:rsidRPr="00010A42">
        <w:rPr>
          <w:rFonts w:ascii="Arial" w:hAnsi="Arial" w:cs="Arial"/>
          <w:sz w:val="20"/>
          <w:szCs w:val="20"/>
        </w:rPr>
        <w:t xml:space="preserve"> cu Directiva Europeana </w:t>
      </w:r>
      <w:r w:rsidR="00897B71" w:rsidRPr="00010A42">
        <w:rPr>
          <w:rFonts w:ascii="Arial" w:hAnsi="Arial" w:cs="Arial"/>
          <w:sz w:val="20"/>
          <w:szCs w:val="20"/>
        </w:rPr>
        <w:t xml:space="preserve">2014/95, Art. </w:t>
      </w:r>
      <w:r w:rsidR="00974E6B" w:rsidRPr="00010A42">
        <w:rPr>
          <w:rFonts w:ascii="Arial" w:hAnsi="Arial" w:cs="Arial"/>
          <w:sz w:val="20"/>
          <w:szCs w:val="20"/>
        </w:rPr>
        <w:t>2, transpu</w:t>
      </w:r>
      <w:r w:rsidR="00897B71" w:rsidRPr="00010A42">
        <w:rPr>
          <w:rFonts w:ascii="Arial" w:hAnsi="Arial" w:cs="Arial"/>
          <w:sz w:val="20"/>
          <w:szCs w:val="20"/>
        </w:rPr>
        <w:t>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897B71" w:rsidRPr="00010A42">
        <w:rPr>
          <w:rFonts w:ascii="Arial" w:hAnsi="Arial" w:cs="Arial"/>
          <w:sz w:val="20"/>
          <w:szCs w:val="20"/>
        </w:rPr>
        <w:t xml:space="preserve"> </w:t>
      </w:r>
      <w:r w:rsidR="00974E6B" w:rsidRPr="00010A42">
        <w:rPr>
          <w:rFonts w:ascii="Arial" w:hAnsi="Arial" w:cs="Arial"/>
          <w:sz w:val="20"/>
          <w:szCs w:val="20"/>
        </w:rPr>
        <w:t>la nivel 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="00974E6B" w:rsidRPr="00010A42">
        <w:rPr>
          <w:rFonts w:ascii="Arial" w:hAnsi="Arial" w:cs="Arial"/>
          <w:sz w:val="20"/>
          <w:szCs w:val="20"/>
        </w:rPr>
        <w:t xml:space="preserve">ional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="00974E6B" w:rsidRPr="00010A42">
        <w:rPr>
          <w:rFonts w:ascii="Arial" w:hAnsi="Arial" w:cs="Arial"/>
          <w:sz w:val="20"/>
          <w:szCs w:val="20"/>
        </w:rPr>
        <w:t>n</w:t>
      </w:r>
      <w:r w:rsidR="00897B71" w:rsidRPr="00010A42">
        <w:rPr>
          <w:rFonts w:ascii="Arial" w:hAnsi="Arial" w:cs="Arial"/>
          <w:sz w:val="20"/>
          <w:szCs w:val="20"/>
        </w:rPr>
        <w:t xml:space="preserve"> Ord</w:t>
      </w:r>
      <w:r w:rsidR="00974E6B" w:rsidRPr="00010A42">
        <w:rPr>
          <w:rFonts w:ascii="Arial" w:hAnsi="Arial" w:cs="Arial"/>
          <w:sz w:val="20"/>
          <w:szCs w:val="20"/>
        </w:rPr>
        <w:t>inul</w:t>
      </w:r>
      <w:r w:rsidR="00897B71" w:rsidRPr="00010A42">
        <w:rPr>
          <w:rFonts w:ascii="Arial" w:hAnsi="Arial" w:cs="Arial"/>
          <w:sz w:val="20"/>
          <w:szCs w:val="20"/>
        </w:rPr>
        <w:t xml:space="preserve"> 1938/</w:t>
      </w:r>
      <w:r w:rsidR="0064099B" w:rsidRPr="00010A42">
        <w:rPr>
          <w:rFonts w:ascii="Arial" w:hAnsi="Arial" w:cs="Arial"/>
          <w:sz w:val="20"/>
          <w:szCs w:val="20"/>
        </w:rPr>
        <w:t xml:space="preserve">2016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="00974E6B" w:rsidRPr="00010A42">
        <w:rPr>
          <w:rFonts w:ascii="Arial" w:hAnsi="Arial" w:cs="Arial"/>
          <w:sz w:val="20"/>
          <w:szCs w:val="20"/>
        </w:rPr>
        <w:t>i</w:t>
      </w:r>
      <w:r w:rsidR="0031097D" w:rsidRPr="00010A42">
        <w:rPr>
          <w:rFonts w:ascii="Arial" w:hAnsi="Arial" w:cs="Arial"/>
          <w:sz w:val="20"/>
          <w:szCs w:val="20"/>
        </w:rPr>
        <w:t xml:space="preserve"> complete</w:t>
      </w:r>
      <w:r w:rsidR="00974E6B" w:rsidRPr="00010A42">
        <w:rPr>
          <w:rFonts w:ascii="Arial" w:hAnsi="Arial" w:cs="Arial"/>
          <w:sz w:val="20"/>
          <w:szCs w:val="20"/>
        </w:rPr>
        <w:t>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31097D" w:rsidRPr="00010A42">
        <w:rPr>
          <w:rFonts w:ascii="Arial" w:hAnsi="Arial" w:cs="Arial"/>
          <w:sz w:val="20"/>
          <w:szCs w:val="20"/>
        </w:rPr>
        <w:t xml:space="preserve"> </w:t>
      </w:r>
      <w:r w:rsidR="00974E6B" w:rsidRPr="00010A42">
        <w:rPr>
          <w:rFonts w:ascii="Arial" w:hAnsi="Arial" w:cs="Arial"/>
          <w:sz w:val="20"/>
          <w:szCs w:val="20"/>
        </w:rPr>
        <w:t>Raportul Administratorilor pentru 2017</w:t>
      </w:r>
      <w:r w:rsidR="00F2649F" w:rsidRPr="00010A42">
        <w:rPr>
          <w:rFonts w:ascii="Arial" w:hAnsi="Arial" w:cs="Arial"/>
          <w:sz w:val="20"/>
          <w:szCs w:val="20"/>
        </w:rPr>
        <w:t xml:space="preserve"> publi</w:t>
      </w:r>
      <w:r w:rsidR="00974E6B" w:rsidRPr="00010A42">
        <w:rPr>
          <w:rFonts w:ascii="Arial" w:hAnsi="Arial" w:cs="Arial"/>
          <w:sz w:val="20"/>
          <w:szCs w:val="20"/>
        </w:rPr>
        <w:t>cat</w:t>
      </w:r>
      <w:r w:rsidR="00F2649F" w:rsidRPr="00010A42">
        <w:rPr>
          <w:rFonts w:ascii="Arial" w:hAnsi="Arial" w:cs="Arial"/>
          <w:sz w:val="20"/>
          <w:szCs w:val="20"/>
        </w:rPr>
        <w:t xml:space="preserve"> </w:t>
      </w:r>
      <w:r w:rsidR="00974E6B" w:rsidRPr="00010A42">
        <w:rPr>
          <w:rFonts w:ascii="Arial" w:hAnsi="Arial" w:cs="Arial"/>
          <w:sz w:val="20"/>
          <w:szCs w:val="20"/>
        </w:rPr>
        <w:t>pe website-ul</w:t>
      </w:r>
      <w:r w:rsidR="00DF6695" w:rsidRPr="00010A42">
        <w:rPr>
          <w:rFonts w:ascii="Arial" w:hAnsi="Arial" w:cs="Arial"/>
          <w:sz w:val="20"/>
          <w:szCs w:val="20"/>
        </w:rPr>
        <w:t xml:space="preserve"> </w:t>
      </w:r>
      <w:r w:rsidR="00974E6B" w:rsidRPr="00010A42">
        <w:rPr>
          <w:rFonts w:ascii="Arial" w:hAnsi="Arial" w:cs="Arial"/>
          <w:sz w:val="20"/>
          <w:szCs w:val="20"/>
        </w:rPr>
        <w:t xml:space="preserve">oficial </w:t>
      </w:r>
      <w:r w:rsidR="00F2649F" w:rsidRPr="00010A42">
        <w:rPr>
          <w:rFonts w:ascii="Arial" w:hAnsi="Arial" w:cs="Arial"/>
          <w:sz w:val="20"/>
          <w:szCs w:val="20"/>
        </w:rPr>
        <w:t>Zentiva</w:t>
      </w:r>
      <w:r w:rsidR="0031097D" w:rsidRPr="00010A42">
        <w:rPr>
          <w:rFonts w:ascii="Arial" w:hAnsi="Arial" w:cs="Arial"/>
          <w:sz w:val="20"/>
          <w:szCs w:val="20"/>
        </w:rPr>
        <w:t>.</w:t>
      </w:r>
    </w:p>
    <w:p w:rsidR="00AF1B8A" w:rsidRPr="00010A42" w:rsidRDefault="00AF1B8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97D" w:rsidRPr="00010A42" w:rsidRDefault="00974E6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Acest raport prezint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31097D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informa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</w:t>
      </w:r>
      <w:r w:rsidR="000D7BE9" w:rsidRPr="00010A42">
        <w:rPr>
          <w:rFonts w:ascii="Arial" w:hAnsi="Arial" w:cs="Arial"/>
          <w:sz w:val="20"/>
          <w:szCs w:val="20"/>
        </w:rPr>
        <w:t>relevant</w:t>
      </w:r>
      <w:r w:rsidRPr="00010A42">
        <w:rPr>
          <w:rFonts w:ascii="Arial" w:hAnsi="Arial" w:cs="Arial"/>
          <w:sz w:val="20"/>
          <w:szCs w:val="20"/>
        </w:rPr>
        <w:t>e despre modelul de afaceri al companiei, a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a cum este detaliat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Raportul Administratorilor</w:t>
      </w:r>
      <w:r w:rsidR="001B1258" w:rsidRPr="00010A42">
        <w:rPr>
          <w:rFonts w:ascii="Arial" w:hAnsi="Arial" w:cs="Arial"/>
          <w:sz w:val="20"/>
          <w:szCs w:val="20"/>
        </w:rPr>
        <w:t xml:space="preserve">, </w:t>
      </w:r>
      <w:r w:rsidR="00712EA4" w:rsidRPr="00010A42">
        <w:rPr>
          <w:rFonts w:ascii="Arial" w:hAnsi="Arial" w:cs="Arial"/>
          <w:sz w:val="20"/>
          <w:szCs w:val="20"/>
        </w:rPr>
        <w:t>et</w:t>
      </w:r>
      <w:r w:rsidRPr="00010A42">
        <w:rPr>
          <w:rFonts w:ascii="Arial" w:hAnsi="Arial" w:cs="Arial"/>
          <w:sz w:val="20"/>
          <w:szCs w:val="20"/>
        </w:rPr>
        <w:t>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712EA4"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masuri anti-coruptie</w:t>
      </w:r>
      <w:r w:rsidR="00712EA4" w:rsidRPr="00010A42">
        <w:rPr>
          <w:rFonts w:ascii="Arial" w:hAnsi="Arial" w:cs="Arial"/>
          <w:sz w:val="20"/>
          <w:szCs w:val="20"/>
        </w:rPr>
        <w:t xml:space="preserve">, </w:t>
      </w:r>
      <w:r w:rsidR="00B45B17" w:rsidRPr="00010A42">
        <w:rPr>
          <w:rFonts w:ascii="Arial" w:hAnsi="Arial" w:cs="Arial"/>
          <w:sz w:val="20"/>
          <w:szCs w:val="20"/>
        </w:rPr>
        <w:t xml:space="preserve">politici de protectie </w:t>
      </w:r>
      <w:r w:rsidRPr="00010A42">
        <w:rPr>
          <w:rFonts w:ascii="Arial" w:hAnsi="Arial" w:cs="Arial"/>
          <w:sz w:val="20"/>
          <w:szCs w:val="20"/>
        </w:rPr>
        <w:t xml:space="preserve">a mediului inconjurator si implicarea sociala </w:t>
      </w:r>
      <w:r w:rsidR="00712EA4" w:rsidRPr="00010A42">
        <w:rPr>
          <w:rFonts w:ascii="Arial" w:hAnsi="Arial" w:cs="Arial"/>
          <w:sz w:val="20"/>
          <w:szCs w:val="20"/>
        </w:rPr>
        <w:t>(</w:t>
      </w:r>
      <w:r w:rsidRPr="00010A42">
        <w:rPr>
          <w:rFonts w:ascii="Arial" w:hAnsi="Arial" w:cs="Arial"/>
          <w:sz w:val="20"/>
          <w:szCs w:val="20"/>
        </w:rPr>
        <w:t>conditii de munca</w:t>
      </w:r>
      <w:r w:rsidR="00712EA4" w:rsidRPr="00010A42">
        <w:rPr>
          <w:rFonts w:ascii="Arial" w:hAnsi="Arial" w:cs="Arial"/>
          <w:sz w:val="20"/>
          <w:szCs w:val="20"/>
        </w:rPr>
        <w:t xml:space="preserve">, </w:t>
      </w:r>
      <w:r w:rsidRPr="00010A42">
        <w:rPr>
          <w:rFonts w:ascii="Arial" w:hAnsi="Arial" w:cs="Arial"/>
          <w:sz w:val="20"/>
          <w:szCs w:val="20"/>
        </w:rPr>
        <w:t>sanatate si siguranta la locul de munca</w:t>
      </w:r>
      <w:r w:rsidR="00712EA4" w:rsidRPr="00010A42">
        <w:rPr>
          <w:rFonts w:ascii="Arial" w:hAnsi="Arial" w:cs="Arial"/>
          <w:sz w:val="20"/>
          <w:szCs w:val="20"/>
        </w:rPr>
        <w:t xml:space="preserve">, </w:t>
      </w:r>
      <w:r w:rsidRPr="00010A42">
        <w:rPr>
          <w:rFonts w:ascii="Arial" w:hAnsi="Arial" w:cs="Arial"/>
          <w:sz w:val="20"/>
          <w:szCs w:val="20"/>
        </w:rPr>
        <w:t>dialog social</w:t>
      </w:r>
      <w:r w:rsidR="00712EA4" w:rsidRPr="00010A42">
        <w:rPr>
          <w:rFonts w:ascii="Arial" w:hAnsi="Arial" w:cs="Arial"/>
          <w:sz w:val="20"/>
          <w:szCs w:val="20"/>
        </w:rPr>
        <w:t>, diversit</w:t>
      </w:r>
      <w:r w:rsidRPr="00010A42">
        <w:rPr>
          <w:rFonts w:ascii="Arial" w:hAnsi="Arial" w:cs="Arial"/>
          <w:sz w:val="20"/>
          <w:szCs w:val="20"/>
        </w:rPr>
        <w:t>ate</w:t>
      </w:r>
      <w:r w:rsidR="00712EA4" w:rsidRPr="00010A42">
        <w:rPr>
          <w:rFonts w:ascii="Arial" w:hAnsi="Arial" w:cs="Arial"/>
          <w:sz w:val="20"/>
          <w:szCs w:val="20"/>
        </w:rPr>
        <w:t xml:space="preserve"> etc.) </w:t>
      </w:r>
      <w:r w:rsidRPr="00010A42">
        <w:rPr>
          <w:rFonts w:ascii="Arial" w:hAnsi="Arial" w:cs="Arial"/>
          <w:sz w:val="20"/>
          <w:szCs w:val="20"/>
        </w:rPr>
        <w:t>precum si riscurile associate si masurile</w:t>
      </w:r>
      <w:r w:rsidR="00AF1B8A" w:rsidRPr="00010A42">
        <w:rPr>
          <w:rFonts w:ascii="Arial" w:hAnsi="Arial" w:cs="Arial"/>
          <w:sz w:val="20"/>
          <w:szCs w:val="20"/>
        </w:rPr>
        <w:t xml:space="preserve"> de adresare a acestor riscuri.</w:t>
      </w:r>
    </w:p>
    <w:p w:rsidR="00DF6695" w:rsidRPr="00010A42" w:rsidRDefault="00DF669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8A" w:rsidRPr="00010A42" w:rsidRDefault="00AF1B8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8A" w:rsidRPr="00010A42" w:rsidRDefault="00AF1B8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14C0" w:rsidRPr="00010A42" w:rsidRDefault="003114C0" w:rsidP="00AF1B8A">
      <w:pPr>
        <w:pStyle w:val="Heading1"/>
        <w:numPr>
          <w:ilvl w:val="0"/>
          <w:numId w:val="2"/>
        </w:numPr>
        <w:spacing w:before="0" w:after="0"/>
        <w:ind w:left="567" w:hanging="283"/>
        <w:rPr>
          <w:rFonts w:cs="Arial"/>
          <w:color w:val="17406D" w:themeColor="text2"/>
          <w:szCs w:val="20"/>
        </w:rPr>
      </w:pPr>
      <w:bookmarkStart w:id="1" w:name="_Toc12461570"/>
      <w:r w:rsidRPr="00010A42">
        <w:rPr>
          <w:rFonts w:cs="Arial"/>
          <w:color w:val="17406D" w:themeColor="text2"/>
          <w:szCs w:val="20"/>
        </w:rPr>
        <w:t>Activit</w:t>
      </w:r>
      <w:r w:rsidR="00110299" w:rsidRPr="00010A42">
        <w:rPr>
          <w:rFonts w:cs="Arial"/>
          <w:color w:val="17406D" w:themeColor="text2"/>
          <w:szCs w:val="20"/>
        </w:rPr>
        <w:t>atea</w:t>
      </w:r>
      <w:r w:rsidRPr="00010A42">
        <w:rPr>
          <w:rFonts w:cs="Arial"/>
          <w:color w:val="17406D" w:themeColor="text2"/>
          <w:szCs w:val="20"/>
        </w:rPr>
        <w:t xml:space="preserve"> compan</w:t>
      </w:r>
      <w:r w:rsidR="00110299" w:rsidRPr="00010A42">
        <w:rPr>
          <w:rFonts w:cs="Arial"/>
          <w:color w:val="17406D" w:themeColor="text2"/>
          <w:szCs w:val="20"/>
        </w:rPr>
        <w:t>iei</w:t>
      </w:r>
      <w:bookmarkEnd w:id="1"/>
    </w:p>
    <w:p w:rsidR="003114C0" w:rsidRPr="00010A42" w:rsidRDefault="003114C0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14C0" w:rsidRPr="00010A42" w:rsidRDefault="003114C0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2" w:name="_Toc12461571"/>
      <w:r w:rsidRPr="00010A42">
        <w:rPr>
          <w:rFonts w:cs="Arial"/>
          <w:color w:val="17406D" w:themeColor="text2"/>
          <w:szCs w:val="20"/>
        </w:rPr>
        <w:t xml:space="preserve">2.1 </w:t>
      </w:r>
      <w:r w:rsidR="00804494" w:rsidRPr="00010A42">
        <w:rPr>
          <w:rFonts w:cs="Arial"/>
          <w:color w:val="17406D" w:themeColor="text2"/>
          <w:szCs w:val="20"/>
        </w:rPr>
        <w:t xml:space="preserve">Actiuni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="00110299" w:rsidRPr="00010A42">
        <w:rPr>
          <w:rFonts w:cs="Arial"/>
          <w:color w:val="17406D" w:themeColor="text2"/>
          <w:szCs w:val="20"/>
        </w:rPr>
        <w:t>i actionari</w:t>
      </w:r>
      <w:bookmarkEnd w:id="2"/>
    </w:p>
    <w:p w:rsidR="003114C0" w:rsidRPr="00010A42" w:rsidRDefault="003114C0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92D" w:rsidRPr="00010A42" w:rsidRDefault="00AF1B8A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ZENTIVA S</w:t>
      </w:r>
      <w:r w:rsidR="006F092D" w:rsidRPr="00010A42">
        <w:rPr>
          <w:rFonts w:ascii="Arial" w:hAnsi="Arial" w:cs="Arial"/>
          <w:sz w:val="20"/>
          <w:szCs w:val="20"/>
          <w:lang w:val="ro-RO"/>
        </w:rPr>
        <w:t>A („Societatea”) a fost infiintata in 1962 ca Intreprinderea de Medicamente Bucuresti (“IMB”). Sediul actual al Societatii este B-dul Theodor Pallady nr. 50, Bucure</w:t>
      </w:r>
      <w:r w:rsidR="001631A6" w:rsidRPr="00010A42">
        <w:rPr>
          <w:rFonts w:ascii="Arial" w:hAnsi="Arial" w:cs="Arial"/>
          <w:sz w:val="20"/>
          <w:szCs w:val="20"/>
          <w:lang w:val="ro-RO"/>
        </w:rPr>
        <w:t>s</w:t>
      </w:r>
      <w:r w:rsidR="006F092D" w:rsidRPr="00010A42">
        <w:rPr>
          <w:rFonts w:ascii="Arial" w:hAnsi="Arial" w:cs="Arial"/>
          <w:sz w:val="20"/>
          <w:szCs w:val="20"/>
          <w:lang w:val="ro-RO"/>
        </w:rPr>
        <w:t>ti.</w:t>
      </w:r>
    </w:p>
    <w:p w:rsidR="00AF1B8A" w:rsidRPr="00010A42" w:rsidRDefault="00AF1B8A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6F092D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In 1990, Compania a incorporat si a preluat intregul patrimoniu al fostei IMB in concordanta cu Decizia Guvernului.</w:t>
      </w:r>
    </w:p>
    <w:p w:rsidR="00AF1B8A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4E21A3" w:rsidP="00AF1B8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In n</w:t>
      </w:r>
      <w:r w:rsidR="006F092D" w:rsidRPr="00010A42">
        <w:rPr>
          <w:rFonts w:ascii="Arial" w:hAnsi="Arial" w:cs="Arial"/>
          <w:sz w:val="20"/>
          <w:szCs w:val="20"/>
          <w:lang w:val="ro-RO"/>
        </w:rPr>
        <w:t xml:space="preserve">oiembrie 1999, pachetul majoritar de actiuni a fost preluat de catre grupul de investitori institutionali format din Banca Europeana de Reconstructie </w:t>
      </w:r>
      <w:r w:rsidR="001631A6" w:rsidRPr="00010A42">
        <w:rPr>
          <w:rFonts w:ascii="Arial" w:hAnsi="Arial" w:cs="Arial"/>
          <w:sz w:val="20"/>
          <w:szCs w:val="20"/>
          <w:lang w:val="ro-RO"/>
        </w:rPr>
        <w:t>s</w:t>
      </w:r>
      <w:r w:rsidR="006F092D" w:rsidRPr="00010A42">
        <w:rPr>
          <w:rFonts w:ascii="Arial" w:hAnsi="Arial" w:cs="Arial"/>
          <w:sz w:val="20"/>
          <w:szCs w:val="20"/>
          <w:lang w:val="ro-RO"/>
        </w:rPr>
        <w:t xml:space="preserve">i Dezvoltare, Fundatia Post-Privatizare, GED Eastern Fund, Euromerchant Balcan Fund, Black See Fund </w:t>
      </w:r>
      <w:r w:rsidR="001631A6" w:rsidRPr="00010A42">
        <w:rPr>
          <w:rFonts w:ascii="Arial" w:hAnsi="Arial" w:cs="Arial"/>
          <w:sz w:val="20"/>
          <w:szCs w:val="20"/>
          <w:lang w:val="ro-RO"/>
        </w:rPr>
        <w:t>s</w:t>
      </w:r>
      <w:r w:rsidR="006F092D" w:rsidRPr="00010A42">
        <w:rPr>
          <w:rFonts w:ascii="Arial" w:hAnsi="Arial" w:cs="Arial"/>
          <w:sz w:val="20"/>
          <w:szCs w:val="20"/>
          <w:lang w:val="ro-RO"/>
        </w:rPr>
        <w:t>i Galenica North East prin intermediul companiei cipriote Venoma Holdings Limited.</w:t>
      </w:r>
    </w:p>
    <w:p w:rsidR="00AF1B8A" w:rsidRPr="00010A42" w:rsidRDefault="00AF1B8A" w:rsidP="00AF1B8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DC6E47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 xml:space="preserve">In 27 iunie </w:t>
      </w:r>
      <w:r w:rsidR="006F092D" w:rsidRPr="00010A42">
        <w:rPr>
          <w:rFonts w:ascii="Arial" w:hAnsi="Arial" w:cs="Arial"/>
          <w:sz w:val="20"/>
          <w:szCs w:val="20"/>
          <w:lang w:val="ro-RO"/>
        </w:rPr>
        <w:t>2002</w:t>
      </w:r>
      <w:r w:rsidR="00AF1B8A" w:rsidRPr="00010A42">
        <w:rPr>
          <w:rFonts w:ascii="Arial" w:hAnsi="Arial" w:cs="Arial"/>
          <w:sz w:val="20"/>
          <w:szCs w:val="20"/>
          <w:lang w:val="ro-RO"/>
        </w:rPr>
        <w:t>,</w:t>
      </w:r>
      <w:r w:rsidR="006F092D" w:rsidRPr="00010A42">
        <w:rPr>
          <w:rFonts w:ascii="Arial" w:hAnsi="Arial" w:cs="Arial"/>
          <w:sz w:val="20"/>
          <w:szCs w:val="20"/>
          <w:lang w:val="ro-RO"/>
        </w:rPr>
        <w:t xml:space="preserve"> Adunarea Generala Extraordinara a Actionarilor a aprobat majorarea capitalului social cu suma de 277.974.100.000 RON vechi (echivalentul a 27.797.410 RON), respectiv de la valoarea de 138.987.050.000 RON vechi (echivalentul a 13.898.705 RON) la valoarea de 416.961.150.000 RON vechi (echivalentul a 41.696.115 RON), prin acordarea de 2 actiuni gratuite pentru fiecare actiune detinuta de actionarii inregistrati in Registrul Actionar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ilor la data de referinta 30 mai </w:t>
      </w:r>
      <w:r w:rsidR="006F092D" w:rsidRPr="00010A42">
        <w:rPr>
          <w:rFonts w:ascii="Arial" w:hAnsi="Arial" w:cs="Arial"/>
          <w:sz w:val="20"/>
          <w:szCs w:val="20"/>
          <w:lang w:val="ro-RO"/>
        </w:rPr>
        <w:t>2002.</w:t>
      </w:r>
    </w:p>
    <w:p w:rsidR="00AF1B8A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DC6E47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 xml:space="preserve">In 12 octombrie </w:t>
      </w:r>
      <w:r w:rsidR="006F092D" w:rsidRPr="00010A42">
        <w:rPr>
          <w:rFonts w:ascii="Arial" w:hAnsi="Arial" w:cs="Arial"/>
          <w:sz w:val="20"/>
          <w:szCs w:val="20"/>
          <w:lang w:val="ro-RO"/>
        </w:rPr>
        <w:t>2005</w:t>
      </w:r>
      <w:r w:rsidR="00AF1B8A" w:rsidRPr="00010A42">
        <w:rPr>
          <w:rFonts w:ascii="Arial" w:hAnsi="Arial" w:cs="Arial"/>
          <w:sz w:val="20"/>
          <w:szCs w:val="20"/>
          <w:lang w:val="ro-RO"/>
        </w:rPr>
        <w:t>,</w:t>
      </w:r>
      <w:r w:rsidR="006F092D" w:rsidRPr="00010A42">
        <w:rPr>
          <w:rFonts w:ascii="Arial" w:hAnsi="Arial" w:cs="Arial"/>
          <w:sz w:val="20"/>
          <w:szCs w:val="20"/>
          <w:lang w:val="ro-RO"/>
        </w:rPr>
        <w:t xml:space="preserve"> a avut loc achizitia actiunilor Venoma de catre Zentiva N.V., o companie olandeza cu sediul in Ámsterdam, Olanda, avand sucursale in mai multe tari europene.</w:t>
      </w:r>
    </w:p>
    <w:p w:rsidR="00AF1B8A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4E21A3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In o</w:t>
      </w:r>
      <w:r w:rsidR="006F092D" w:rsidRPr="00010A42">
        <w:rPr>
          <w:rFonts w:ascii="Arial" w:hAnsi="Arial" w:cs="Arial"/>
          <w:sz w:val="20"/>
          <w:szCs w:val="20"/>
          <w:lang w:val="ro-RO"/>
        </w:rPr>
        <w:t>ctombrie 2005, Zentiva NV a facut o oferta publica de cumparare a actiunilor emitentului Sicomed SA, denumit ulterior Zentiva SA, la valoarea de</w:t>
      </w:r>
      <w:r w:rsidR="00DC6E47" w:rsidRPr="00010A42">
        <w:rPr>
          <w:rFonts w:ascii="Arial" w:hAnsi="Arial" w:cs="Arial"/>
          <w:sz w:val="20"/>
          <w:szCs w:val="20"/>
          <w:lang w:val="ro-RO"/>
        </w:rPr>
        <w:t xml:space="preserve"> 1,37 RON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DC6E47" w:rsidRPr="00010A42">
        <w:rPr>
          <w:rFonts w:ascii="Arial" w:hAnsi="Arial" w:cs="Arial"/>
          <w:sz w:val="20"/>
          <w:szCs w:val="20"/>
          <w:lang w:val="ro-RO"/>
        </w:rPr>
        <w:t>/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DC6E47" w:rsidRPr="00010A42">
        <w:rPr>
          <w:rFonts w:ascii="Arial" w:hAnsi="Arial" w:cs="Arial"/>
          <w:sz w:val="20"/>
          <w:szCs w:val="20"/>
          <w:lang w:val="ro-RO"/>
        </w:rPr>
        <w:t>actiune, in perioada 9 noiembrie 2005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sz w:val="20"/>
          <w:szCs w:val="20"/>
          <w:lang w:val="ro-RO"/>
        </w:rPr>
        <w:t>–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DC6E47" w:rsidRPr="00010A42">
        <w:rPr>
          <w:rFonts w:ascii="Arial" w:hAnsi="Arial" w:cs="Arial"/>
          <w:sz w:val="20"/>
          <w:szCs w:val="20"/>
          <w:lang w:val="ro-RO"/>
        </w:rPr>
        <w:t>12</w:t>
      </w:r>
      <w:r w:rsidRPr="00010A42">
        <w:rPr>
          <w:rFonts w:ascii="Arial" w:hAnsi="Arial" w:cs="Arial"/>
          <w:sz w:val="20"/>
          <w:szCs w:val="20"/>
          <w:lang w:val="ro-RO"/>
        </w:rPr>
        <w:t> </w:t>
      </w:r>
      <w:r w:rsidR="00DC6E47" w:rsidRPr="00010A42">
        <w:rPr>
          <w:rFonts w:ascii="Arial" w:hAnsi="Arial" w:cs="Arial"/>
          <w:sz w:val="20"/>
          <w:szCs w:val="20"/>
          <w:lang w:val="ro-RO"/>
        </w:rPr>
        <w:t xml:space="preserve">ianuarie </w:t>
      </w:r>
      <w:r w:rsidR="006F092D" w:rsidRPr="00010A42">
        <w:rPr>
          <w:rFonts w:ascii="Arial" w:hAnsi="Arial" w:cs="Arial"/>
          <w:sz w:val="20"/>
          <w:szCs w:val="20"/>
          <w:lang w:val="ro-RO"/>
        </w:rPr>
        <w:t>2006.</w:t>
      </w:r>
    </w:p>
    <w:p w:rsidR="00AF1B8A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6F092D" w:rsidP="00AF1B8A">
      <w:pPr>
        <w:pStyle w:val="BodyText"/>
        <w:spacing w:after="0" w:line="240" w:lineRule="auto"/>
        <w:jc w:val="left"/>
        <w:rPr>
          <w:rFonts w:ascii="Arial" w:hAnsi="Arial" w:cs="Arial"/>
          <w:bCs/>
          <w:iCs/>
          <w:sz w:val="20"/>
          <w:szCs w:val="20"/>
          <w:lang w:val="ro-RO"/>
        </w:rPr>
      </w:pPr>
      <w:r w:rsidRPr="00010A42">
        <w:rPr>
          <w:rFonts w:ascii="Arial" w:hAnsi="Arial" w:cs="Arial"/>
          <w:bCs/>
          <w:iCs/>
          <w:sz w:val="20"/>
          <w:szCs w:val="20"/>
          <w:lang w:val="ro-RO"/>
        </w:rPr>
        <w:t>In martie 2009, Sanofi-Aventis Europe a</w:t>
      </w:r>
      <w:r w:rsidRPr="00010A42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bCs/>
          <w:iCs/>
          <w:sz w:val="20"/>
          <w:szCs w:val="20"/>
          <w:lang w:val="ro-RO"/>
        </w:rPr>
        <w:t>anuntat faptul ca a devenit actionar al Zentiva N.V. cu o detinere de aproximativ 96,8% din actiuni.</w:t>
      </w:r>
    </w:p>
    <w:p w:rsidR="00AF1B8A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bCs/>
          <w:iCs/>
          <w:sz w:val="20"/>
          <w:szCs w:val="20"/>
          <w:lang w:val="ro-RO"/>
        </w:rPr>
      </w:pPr>
    </w:p>
    <w:p w:rsidR="006F092D" w:rsidRPr="00010A42" w:rsidRDefault="006F092D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bCs/>
          <w:iCs/>
          <w:sz w:val="20"/>
          <w:szCs w:val="20"/>
          <w:lang w:val="ro-RO"/>
        </w:rPr>
        <w:t xml:space="preserve">In august 2009, Sanofi-Aventis Europe </w:t>
      </w:r>
      <w:r w:rsidRPr="00010A42">
        <w:rPr>
          <w:rFonts w:ascii="Arial" w:hAnsi="Arial" w:cs="Arial"/>
          <w:sz w:val="20"/>
          <w:szCs w:val="20"/>
          <w:lang w:val="ro-RO"/>
        </w:rPr>
        <w:t>a facut o oferta publica de cumparare a actiunilor emitentului Zentiva SA, la valoarea de 0,7</w:t>
      </w:r>
      <w:r w:rsidR="00DC6E47" w:rsidRPr="00010A42">
        <w:rPr>
          <w:rFonts w:ascii="Arial" w:hAnsi="Arial" w:cs="Arial"/>
          <w:sz w:val="20"/>
          <w:szCs w:val="20"/>
          <w:lang w:val="ro-RO"/>
        </w:rPr>
        <w:t xml:space="preserve"> RON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DC6E47" w:rsidRPr="00010A42">
        <w:rPr>
          <w:rFonts w:ascii="Arial" w:hAnsi="Arial" w:cs="Arial"/>
          <w:sz w:val="20"/>
          <w:szCs w:val="20"/>
          <w:lang w:val="ro-RO"/>
        </w:rPr>
        <w:t>/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DC6E47" w:rsidRPr="00010A42">
        <w:rPr>
          <w:rFonts w:ascii="Arial" w:hAnsi="Arial" w:cs="Arial"/>
          <w:sz w:val="20"/>
          <w:szCs w:val="20"/>
          <w:lang w:val="ro-RO"/>
        </w:rPr>
        <w:t>actiune, in perioada 12 august 2009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DC6E47" w:rsidRPr="00010A42">
        <w:rPr>
          <w:rFonts w:ascii="Arial" w:hAnsi="Arial" w:cs="Arial"/>
          <w:sz w:val="20"/>
          <w:szCs w:val="20"/>
          <w:lang w:val="ro-RO"/>
        </w:rPr>
        <w:t>-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DC6E47" w:rsidRPr="00010A42">
        <w:rPr>
          <w:rFonts w:ascii="Arial" w:hAnsi="Arial" w:cs="Arial"/>
          <w:sz w:val="20"/>
          <w:szCs w:val="20"/>
          <w:lang w:val="ro-RO"/>
        </w:rPr>
        <w:t xml:space="preserve">22 septembrie </w:t>
      </w:r>
      <w:r w:rsidRPr="00010A42">
        <w:rPr>
          <w:rFonts w:ascii="Arial" w:hAnsi="Arial" w:cs="Arial"/>
          <w:sz w:val="20"/>
          <w:szCs w:val="20"/>
          <w:lang w:val="ro-RO"/>
        </w:rPr>
        <w:t>2009.</w:t>
      </w:r>
    </w:p>
    <w:p w:rsidR="00AF1B8A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8C48C5" w:rsidRPr="00010A42" w:rsidRDefault="008C48C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Intre 20 februarie 2018 si 5 aprilie 2018 Sanofi – Aventis Europe, prin Zentiva N.V. a generat o oferta publ</w:t>
      </w:r>
      <w:r w:rsidR="0033690C" w:rsidRPr="00010A42">
        <w:rPr>
          <w:rFonts w:ascii="Arial" w:hAnsi="Arial" w:cs="Arial"/>
          <w:sz w:val="20"/>
          <w:szCs w:val="20"/>
          <w:lang w:val="ro-RO"/>
        </w:rPr>
        <w:t>ica de acjizitie la pretul de 3,</w:t>
      </w:r>
      <w:r w:rsidRPr="00010A42">
        <w:rPr>
          <w:rFonts w:ascii="Arial" w:hAnsi="Arial" w:cs="Arial"/>
          <w:sz w:val="20"/>
          <w:szCs w:val="20"/>
          <w:lang w:val="ro-RO"/>
        </w:rPr>
        <w:t>50 RON pentru o actiu</w:t>
      </w:r>
      <w:r w:rsidR="0033690C" w:rsidRPr="00010A42">
        <w:rPr>
          <w:rFonts w:ascii="Arial" w:hAnsi="Arial" w:cs="Arial"/>
          <w:sz w:val="20"/>
          <w:szCs w:val="20"/>
          <w:lang w:val="ro-RO"/>
        </w:rPr>
        <w:t>ne, dupa care a achizitionat 48.216.</w:t>
      </w:r>
      <w:r w:rsidRPr="00010A42">
        <w:rPr>
          <w:rFonts w:ascii="Arial" w:hAnsi="Arial" w:cs="Arial"/>
          <w:sz w:val="20"/>
          <w:szCs w:val="20"/>
          <w:lang w:val="ro-RO"/>
        </w:rPr>
        <w:t>352 actiuni ceea ce a condus la atingerea a 93</w:t>
      </w:r>
      <w:r w:rsidR="0033690C" w:rsidRPr="00010A42">
        <w:rPr>
          <w:rFonts w:ascii="Arial" w:hAnsi="Arial" w:cs="Arial"/>
          <w:sz w:val="20"/>
          <w:szCs w:val="20"/>
          <w:lang w:val="ro-RO"/>
        </w:rPr>
        <w:t>,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2295% din actiunile Companiei. </w:t>
      </w:r>
    </w:p>
    <w:p w:rsidR="00AF1B8A" w:rsidRPr="00010A42" w:rsidRDefault="00AF1B8A">
      <w:pPr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br w:type="page"/>
      </w:r>
    </w:p>
    <w:p w:rsidR="00AF1B8A" w:rsidRPr="00010A42" w:rsidRDefault="00AF1B8A" w:rsidP="00AF1B8A">
      <w:pPr>
        <w:pStyle w:val="Heading1"/>
        <w:numPr>
          <w:ilvl w:val="0"/>
          <w:numId w:val="17"/>
        </w:numPr>
        <w:spacing w:before="0" w:after="0"/>
        <w:rPr>
          <w:rFonts w:cs="Arial"/>
          <w:color w:val="17406D" w:themeColor="text2"/>
          <w:szCs w:val="20"/>
        </w:rPr>
      </w:pPr>
      <w:bookmarkStart w:id="3" w:name="_Toc12461572"/>
      <w:r w:rsidRPr="00010A42">
        <w:rPr>
          <w:rFonts w:cs="Arial"/>
          <w:color w:val="17406D" w:themeColor="text2"/>
          <w:szCs w:val="20"/>
        </w:rPr>
        <w:lastRenderedPageBreak/>
        <w:t>Activitatea companiei (continuare)</w:t>
      </w:r>
      <w:bookmarkEnd w:id="3"/>
    </w:p>
    <w:p w:rsidR="008C48C5" w:rsidRPr="00010A42" w:rsidRDefault="008C48C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8C48C5" w:rsidRPr="00010A42" w:rsidRDefault="008C48C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  <w:lang w:val="ro-RO"/>
        </w:rPr>
        <w:t>In 30 septembrie 2018</w:t>
      </w:r>
      <w:r w:rsidR="00AF1B8A" w:rsidRPr="00010A42">
        <w:rPr>
          <w:rFonts w:ascii="Arial" w:hAnsi="Arial" w:cs="Arial"/>
          <w:sz w:val="20"/>
          <w:szCs w:val="20"/>
          <w:lang w:val="ro-RO"/>
        </w:rPr>
        <w:t>,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transferul actiunilor a fost incheiat intre Zentiva N.V. (100% detinu</w:t>
      </w:r>
      <w:r w:rsidR="00E6403E" w:rsidRPr="00010A42">
        <w:rPr>
          <w:rFonts w:ascii="Arial" w:hAnsi="Arial" w:cs="Arial"/>
          <w:sz w:val="20"/>
          <w:szCs w:val="20"/>
          <w:lang w:val="ro-RO"/>
        </w:rPr>
        <w:t xml:space="preserve">te si controlate de Sanofi - 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Aventis Europe) ca vanzator si </w:t>
      </w:r>
      <w:r w:rsidRPr="00010A42">
        <w:rPr>
          <w:rFonts w:ascii="Arial" w:hAnsi="Arial" w:cs="Arial"/>
          <w:sz w:val="20"/>
          <w:szCs w:val="20"/>
        </w:rPr>
        <w:t xml:space="preserve">AI Sirona BidCo s.r.o (100% detinut si controlat de Al Sirona (Luxemburg) Subco S. </w:t>
      </w:r>
      <w:proofErr w:type="gramStart"/>
      <w:r w:rsidRPr="00010A42">
        <w:rPr>
          <w:rFonts w:ascii="Arial" w:hAnsi="Arial" w:cs="Arial"/>
          <w:sz w:val="20"/>
          <w:szCs w:val="20"/>
        </w:rPr>
        <w:t>à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r.l. si controlat de Advent Funds GPE VIII, un fond gestionat de Advent International Corporation) </w:t>
      </w:r>
      <w:r w:rsidR="006C7EEB" w:rsidRPr="00010A42">
        <w:rPr>
          <w:rFonts w:ascii="Arial" w:hAnsi="Arial" w:cs="Arial"/>
          <w:sz w:val="20"/>
          <w:szCs w:val="20"/>
        </w:rPr>
        <w:t>ca si comparator, prin care controlul asupra Zentiva Group a.s a fost transferat. In 31 decembrie 2018</w:t>
      </w:r>
      <w:r w:rsidR="0033690C" w:rsidRPr="00010A42">
        <w:rPr>
          <w:rFonts w:ascii="Arial" w:hAnsi="Arial" w:cs="Arial"/>
          <w:sz w:val="20"/>
          <w:szCs w:val="20"/>
        </w:rPr>
        <w:t xml:space="preserve"> Zentiva Group a.s. detinea 388.730.</w:t>
      </w:r>
      <w:r w:rsidR="006C7EEB" w:rsidRPr="00010A42">
        <w:rPr>
          <w:rFonts w:ascii="Arial" w:hAnsi="Arial" w:cs="Arial"/>
          <w:sz w:val="20"/>
          <w:szCs w:val="20"/>
        </w:rPr>
        <w:t>877 actiuni, reprezentand 93</w:t>
      </w:r>
      <w:r w:rsidR="0033690C" w:rsidRPr="00010A42">
        <w:rPr>
          <w:rFonts w:ascii="Arial" w:hAnsi="Arial" w:cs="Arial"/>
          <w:sz w:val="20"/>
          <w:szCs w:val="20"/>
        </w:rPr>
        <w:t>,</w:t>
      </w:r>
      <w:r w:rsidR="006C7EEB" w:rsidRPr="00010A42">
        <w:rPr>
          <w:rFonts w:ascii="Arial" w:hAnsi="Arial" w:cs="Arial"/>
          <w:sz w:val="20"/>
          <w:szCs w:val="20"/>
        </w:rPr>
        <w:t>2295% din totalul de actiuni al Companiei.</w:t>
      </w:r>
    </w:p>
    <w:p w:rsidR="00AF1B8A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8C48C5" w:rsidRPr="00010A42" w:rsidRDefault="00AF1B8A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Intre 18 d</w:t>
      </w:r>
      <w:r w:rsidR="0075298A" w:rsidRPr="00010A42">
        <w:rPr>
          <w:rFonts w:ascii="Arial" w:hAnsi="Arial" w:cs="Arial"/>
          <w:sz w:val="20"/>
          <w:szCs w:val="20"/>
          <w:lang w:val="ro-RO"/>
        </w:rPr>
        <w:t>ecembrie 2018 -</w:t>
      </w:r>
      <w:r w:rsidR="006C7EEB" w:rsidRPr="00010A42">
        <w:rPr>
          <w:rFonts w:ascii="Arial" w:hAnsi="Arial" w:cs="Arial"/>
          <w:sz w:val="20"/>
          <w:szCs w:val="20"/>
          <w:lang w:val="ro-RO"/>
        </w:rPr>
        <w:t xml:space="preserve"> 11 </w:t>
      </w:r>
      <w:r w:rsidRPr="00010A42">
        <w:rPr>
          <w:rFonts w:ascii="Arial" w:hAnsi="Arial" w:cs="Arial"/>
          <w:sz w:val="20"/>
          <w:szCs w:val="20"/>
          <w:lang w:val="ro-RO"/>
        </w:rPr>
        <w:t>i</w:t>
      </w:r>
      <w:r w:rsidR="0048607F" w:rsidRPr="00010A42">
        <w:rPr>
          <w:rFonts w:ascii="Arial" w:hAnsi="Arial" w:cs="Arial"/>
          <w:sz w:val="20"/>
          <w:szCs w:val="20"/>
          <w:lang w:val="ro-RO"/>
        </w:rPr>
        <w:t>anuarie</w:t>
      </w:r>
      <w:r w:rsidR="006C7EEB" w:rsidRPr="00010A42">
        <w:rPr>
          <w:rFonts w:ascii="Arial" w:hAnsi="Arial" w:cs="Arial"/>
          <w:sz w:val="20"/>
          <w:szCs w:val="20"/>
          <w:lang w:val="ro-RO"/>
        </w:rPr>
        <w:t xml:space="preserve"> 2019, Zentiva Group a.s. a demarat oferta publica </w:t>
      </w:r>
      <w:r w:rsidR="0033690C" w:rsidRPr="00010A42">
        <w:rPr>
          <w:rFonts w:ascii="Arial" w:hAnsi="Arial" w:cs="Arial"/>
          <w:sz w:val="20"/>
          <w:szCs w:val="20"/>
          <w:lang w:val="ro-RO"/>
        </w:rPr>
        <w:t>pentru a cumpara la pretul de 3,</w:t>
      </w:r>
      <w:r w:rsidR="006C7EEB" w:rsidRPr="00010A42">
        <w:rPr>
          <w:rFonts w:ascii="Arial" w:hAnsi="Arial" w:cs="Arial"/>
          <w:sz w:val="20"/>
          <w:szCs w:val="20"/>
          <w:lang w:val="ro-RO"/>
        </w:rPr>
        <w:t>7472 RON pentru o actiune, in</w:t>
      </w:r>
      <w:r w:rsidR="002F5E27" w:rsidRPr="00010A42">
        <w:rPr>
          <w:rFonts w:ascii="Arial" w:hAnsi="Arial" w:cs="Arial"/>
          <w:sz w:val="20"/>
          <w:szCs w:val="20"/>
          <w:lang w:val="ro-RO"/>
        </w:rPr>
        <w:t xml:space="preserve"> urma careia a achizitionat 200.</w:t>
      </w:r>
      <w:r w:rsidR="006C7EEB" w:rsidRPr="00010A42">
        <w:rPr>
          <w:rFonts w:ascii="Arial" w:hAnsi="Arial" w:cs="Arial"/>
          <w:sz w:val="20"/>
          <w:szCs w:val="20"/>
          <w:lang w:val="ro-RO"/>
        </w:rPr>
        <w:t>333 actiuni, ceea ce a condus la detinerea 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700547" w:rsidRPr="00010A42">
        <w:rPr>
          <w:rFonts w:ascii="Arial" w:hAnsi="Arial" w:cs="Arial"/>
          <w:sz w:val="20"/>
          <w:szCs w:val="20"/>
          <w:lang w:val="ro-RO"/>
        </w:rPr>
        <w:t>388.</w:t>
      </w:r>
      <w:r w:rsidR="006C7EEB" w:rsidRPr="00010A42">
        <w:rPr>
          <w:rFonts w:ascii="Arial" w:hAnsi="Arial" w:cs="Arial"/>
          <w:sz w:val="20"/>
          <w:szCs w:val="20"/>
          <w:lang w:val="ro-RO"/>
        </w:rPr>
        <w:t>931</w:t>
      </w:r>
      <w:r w:rsidR="00700547" w:rsidRPr="00010A42">
        <w:rPr>
          <w:rFonts w:ascii="Arial" w:hAnsi="Arial" w:cs="Arial"/>
          <w:sz w:val="20"/>
          <w:szCs w:val="20"/>
          <w:lang w:val="ro-RO"/>
        </w:rPr>
        <w:t>.</w:t>
      </w:r>
      <w:r w:rsidR="006C7EEB" w:rsidRPr="00010A42">
        <w:rPr>
          <w:rFonts w:ascii="Arial" w:hAnsi="Arial" w:cs="Arial"/>
          <w:sz w:val="20"/>
          <w:szCs w:val="20"/>
          <w:lang w:val="ro-RO"/>
        </w:rPr>
        <w:t>210 actiuni, reprezentand 93</w:t>
      </w:r>
      <w:r w:rsidRPr="00010A42">
        <w:rPr>
          <w:rFonts w:ascii="Arial" w:hAnsi="Arial" w:cs="Arial"/>
          <w:sz w:val="20"/>
          <w:szCs w:val="20"/>
          <w:lang w:val="ro-RO"/>
        </w:rPr>
        <w:t>,</w:t>
      </w:r>
      <w:r w:rsidR="006C7EEB" w:rsidRPr="00010A42">
        <w:rPr>
          <w:rFonts w:ascii="Arial" w:hAnsi="Arial" w:cs="Arial"/>
          <w:sz w:val="20"/>
          <w:szCs w:val="20"/>
          <w:lang w:val="ro-RO"/>
        </w:rPr>
        <w:t>2776% din capitalul Companiei.</w:t>
      </w:r>
    </w:p>
    <w:p w:rsidR="008C48C5" w:rsidRPr="00010A42" w:rsidRDefault="008C48C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6F092D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 xml:space="preserve">Structura sintetica 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a actionarilor la data de 31 decembrie </w:t>
      </w:r>
      <w:r w:rsidRPr="00010A42">
        <w:rPr>
          <w:rFonts w:ascii="Arial" w:hAnsi="Arial" w:cs="Arial"/>
          <w:sz w:val="20"/>
          <w:szCs w:val="20"/>
          <w:lang w:val="ro-RO"/>
        </w:rPr>
        <w:t>201</w:t>
      </w:r>
      <w:r w:rsidR="006C7EEB" w:rsidRPr="00010A42">
        <w:rPr>
          <w:rFonts w:ascii="Arial" w:hAnsi="Arial" w:cs="Arial"/>
          <w:sz w:val="20"/>
          <w:szCs w:val="20"/>
          <w:lang w:val="ro-RO"/>
        </w:rPr>
        <w:t>8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comparat</w:t>
      </w:r>
      <w:r w:rsidR="0033690C" w:rsidRPr="00010A42">
        <w:rPr>
          <w:rFonts w:ascii="Arial" w:hAnsi="Arial" w:cs="Arial"/>
          <w:sz w:val="20"/>
          <w:szCs w:val="20"/>
          <w:lang w:val="ro-RO"/>
        </w:rPr>
        <w:t>iv cu structura la data de 31 </w:t>
      </w:r>
      <w:r w:rsidR="00AF1B8A" w:rsidRPr="00010A42">
        <w:rPr>
          <w:rFonts w:ascii="Arial" w:hAnsi="Arial" w:cs="Arial"/>
          <w:sz w:val="20"/>
          <w:szCs w:val="20"/>
          <w:lang w:val="ro-RO"/>
        </w:rPr>
        <w:t xml:space="preserve">decembrie </w:t>
      </w:r>
      <w:r w:rsidRPr="00010A42">
        <w:rPr>
          <w:rFonts w:ascii="Arial" w:hAnsi="Arial" w:cs="Arial"/>
          <w:sz w:val="20"/>
          <w:szCs w:val="20"/>
          <w:lang w:val="ro-RO"/>
        </w:rPr>
        <w:t>201</w:t>
      </w:r>
      <w:r w:rsidR="006C7EEB" w:rsidRPr="00010A42">
        <w:rPr>
          <w:rFonts w:ascii="Arial" w:hAnsi="Arial" w:cs="Arial"/>
          <w:sz w:val="20"/>
          <w:szCs w:val="20"/>
          <w:lang w:val="ro-RO"/>
        </w:rPr>
        <w:t>7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este urmatoarea:</w:t>
      </w:r>
    </w:p>
    <w:p w:rsidR="00700547" w:rsidRPr="00010A42" w:rsidRDefault="00700547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385"/>
      </w:tblGrid>
      <w:tr w:rsidR="006C7EEB" w:rsidRPr="00010A42" w:rsidTr="00700547">
        <w:tc>
          <w:tcPr>
            <w:tcW w:w="6521" w:type="dxa"/>
            <w:shd w:val="clear" w:color="auto" w:fill="auto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Structura actionariat</w:t>
            </w:r>
          </w:p>
        </w:tc>
        <w:tc>
          <w:tcPr>
            <w:tcW w:w="1417" w:type="dxa"/>
            <w:vAlign w:val="bottom"/>
          </w:tcPr>
          <w:p w:rsidR="002F5E27" w:rsidRPr="00010A42" w:rsidRDefault="004E21A3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31 d</w:t>
            </w:r>
            <w:r w:rsidR="006C7EEB"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ecembrie</w:t>
            </w:r>
          </w:p>
          <w:p w:rsidR="006C7EEB" w:rsidRPr="00010A42" w:rsidRDefault="006C7EEB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85" w:type="dxa"/>
            <w:vAlign w:val="bottom"/>
          </w:tcPr>
          <w:p w:rsidR="002F5E27" w:rsidRPr="00010A42" w:rsidRDefault="004E21A3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31 d</w:t>
            </w:r>
            <w:r w:rsidR="006C7EEB"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ecembrie</w:t>
            </w:r>
          </w:p>
          <w:p w:rsidR="006C7EEB" w:rsidRPr="00010A42" w:rsidRDefault="006C7EEB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</w:tr>
      <w:tr w:rsidR="006C7EEB" w:rsidRPr="00010A42" w:rsidTr="00700547">
        <w:tc>
          <w:tcPr>
            <w:tcW w:w="6521" w:type="dxa"/>
            <w:shd w:val="clear" w:color="auto" w:fill="auto"/>
            <w:vAlign w:val="bottom"/>
          </w:tcPr>
          <w:p w:rsidR="006C7EEB" w:rsidRPr="00010A42" w:rsidRDefault="006C7EEB" w:rsidP="00AF1B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EEB" w:rsidRPr="00010A42" w:rsidRDefault="006C7EEB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385" w:type="dxa"/>
          </w:tcPr>
          <w:p w:rsidR="006C7EEB" w:rsidRPr="00010A42" w:rsidRDefault="006C7EEB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407B2E" w:rsidRPr="00010A42" w:rsidTr="00700547">
        <w:tc>
          <w:tcPr>
            <w:tcW w:w="6521" w:type="dxa"/>
            <w:shd w:val="clear" w:color="auto" w:fill="auto"/>
            <w:vAlign w:val="bottom"/>
          </w:tcPr>
          <w:p w:rsidR="00407B2E" w:rsidRPr="00010A42" w:rsidRDefault="00407B2E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07B2E" w:rsidRPr="00010A42" w:rsidRDefault="00407B2E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:rsidR="00407B2E" w:rsidRPr="00010A42" w:rsidRDefault="00407B2E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EEB" w:rsidRPr="00010A42" w:rsidTr="00700547">
        <w:tc>
          <w:tcPr>
            <w:tcW w:w="6521" w:type="dxa"/>
            <w:shd w:val="clear" w:color="auto" w:fill="auto"/>
            <w:vAlign w:val="bottom"/>
          </w:tcPr>
          <w:p w:rsidR="006C7EEB" w:rsidRPr="00010A42" w:rsidRDefault="006C7EEB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Venoma Holdings Limited</w:t>
            </w:r>
          </w:p>
        </w:tc>
        <w:tc>
          <w:tcPr>
            <w:tcW w:w="1417" w:type="dxa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50</w:t>
            </w:r>
            <w:r w:rsidR="00F210FD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385" w:type="dxa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7EEB" w:rsidRPr="00010A42" w:rsidTr="00700547">
        <w:tc>
          <w:tcPr>
            <w:tcW w:w="6521" w:type="dxa"/>
            <w:shd w:val="clear" w:color="auto" w:fill="auto"/>
            <w:vAlign w:val="bottom"/>
          </w:tcPr>
          <w:p w:rsidR="006C7EEB" w:rsidRPr="00010A42" w:rsidRDefault="006C7EEB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ZENTIVA NV</w:t>
            </w:r>
          </w:p>
        </w:tc>
        <w:tc>
          <w:tcPr>
            <w:tcW w:w="1417" w:type="dxa"/>
            <w:vAlign w:val="bottom"/>
          </w:tcPr>
          <w:p w:rsidR="006C7EEB" w:rsidRPr="00010A42" w:rsidRDefault="00F210FD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23,</w:t>
            </w:r>
            <w:r w:rsidR="006C7EEB" w:rsidRPr="00010A42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1385" w:type="dxa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7EEB" w:rsidRPr="00010A42" w:rsidTr="00700547">
        <w:tc>
          <w:tcPr>
            <w:tcW w:w="6521" w:type="dxa"/>
            <w:shd w:val="clear" w:color="auto" w:fill="auto"/>
            <w:vAlign w:val="bottom"/>
          </w:tcPr>
          <w:p w:rsidR="006C7EEB" w:rsidRPr="00010A42" w:rsidRDefault="006C7EEB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Sanofi Aventis Europe</w:t>
            </w:r>
          </w:p>
        </w:tc>
        <w:tc>
          <w:tcPr>
            <w:tcW w:w="1417" w:type="dxa"/>
            <w:vAlign w:val="bottom"/>
          </w:tcPr>
          <w:p w:rsidR="006C7EEB" w:rsidRPr="00010A42" w:rsidRDefault="00F210FD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6,</w:t>
            </w:r>
            <w:r w:rsidR="006C7EEB" w:rsidRPr="00010A42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385" w:type="dxa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7EEB" w:rsidRPr="00010A42" w:rsidTr="00700547">
        <w:tc>
          <w:tcPr>
            <w:tcW w:w="6521" w:type="dxa"/>
            <w:shd w:val="clear" w:color="auto" w:fill="auto"/>
            <w:vAlign w:val="bottom"/>
          </w:tcPr>
          <w:p w:rsidR="006C7EEB" w:rsidRPr="00010A42" w:rsidRDefault="006C7EEB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Zentiva Group a.s.</w:t>
            </w:r>
          </w:p>
        </w:tc>
        <w:tc>
          <w:tcPr>
            <w:tcW w:w="1417" w:type="dxa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bottom"/>
          </w:tcPr>
          <w:p w:rsidR="006C7EEB" w:rsidRPr="00010A42" w:rsidRDefault="00F210FD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  <w:lang w:val="ro-RO"/>
              </w:rPr>
              <w:t>93,</w:t>
            </w:r>
            <w:r w:rsidR="006C7EEB" w:rsidRPr="00010A42">
              <w:rPr>
                <w:rFonts w:ascii="Arial" w:hAnsi="Arial" w:cs="Arial"/>
                <w:sz w:val="20"/>
                <w:szCs w:val="20"/>
                <w:lang w:val="ro-RO"/>
              </w:rPr>
              <w:t>2295</w:t>
            </w:r>
          </w:p>
        </w:tc>
      </w:tr>
      <w:tr w:rsidR="006C7EEB" w:rsidRPr="00010A42" w:rsidTr="00700547">
        <w:tc>
          <w:tcPr>
            <w:tcW w:w="6521" w:type="dxa"/>
            <w:shd w:val="clear" w:color="auto" w:fill="auto"/>
            <w:vAlign w:val="bottom"/>
          </w:tcPr>
          <w:p w:rsidR="006C7EEB" w:rsidRPr="00010A42" w:rsidRDefault="006C7EEB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Other minority shareholders</w:t>
            </w:r>
          </w:p>
        </w:tc>
        <w:tc>
          <w:tcPr>
            <w:tcW w:w="1417" w:type="dxa"/>
            <w:vAlign w:val="bottom"/>
          </w:tcPr>
          <w:p w:rsidR="006C7EEB" w:rsidRPr="00010A42" w:rsidRDefault="00F210FD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18,</w:t>
            </w:r>
            <w:r w:rsidR="006C7EEB" w:rsidRPr="00010A42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385" w:type="dxa"/>
            <w:vAlign w:val="bottom"/>
          </w:tcPr>
          <w:p w:rsidR="006C7EEB" w:rsidRPr="00010A42" w:rsidRDefault="00F210FD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6,</w:t>
            </w:r>
            <w:r w:rsidR="006C7EEB" w:rsidRPr="00010A42">
              <w:rPr>
                <w:rFonts w:ascii="Arial" w:hAnsi="Arial" w:cs="Arial"/>
                <w:sz w:val="20"/>
                <w:szCs w:val="20"/>
              </w:rPr>
              <w:t>7705</w:t>
            </w:r>
          </w:p>
        </w:tc>
      </w:tr>
      <w:tr w:rsidR="006C7EEB" w:rsidRPr="00010A42" w:rsidTr="00700547">
        <w:tc>
          <w:tcPr>
            <w:tcW w:w="6521" w:type="dxa"/>
            <w:shd w:val="clear" w:color="auto" w:fill="auto"/>
            <w:noWrap/>
            <w:vAlign w:val="bottom"/>
          </w:tcPr>
          <w:p w:rsidR="006C7EEB" w:rsidRPr="00010A42" w:rsidRDefault="006C7EEB" w:rsidP="00AF1B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85" w:type="dxa"/>
            <w:vAlign w:val="bottom"/>
          </w:tcPr>
          <w:p w:rsidR="006C7EEB" w:rsidRPr="00010A42" w:rsidRDefault="006C7EEB" w:rsidP="00AF1B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700547" w:rsidRPr="00010A42" w:rsidRDefault="00700547" w:rsidP="00AF1B8A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p w:rsidR="00700547" w:rsidRPr="00010A42" w:rsidRDefault="00700547" w:rsidP="00AF1B8A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p w:rsidR="006F092D" w:rsidRPr="00010A42" w:rsidRDefault="006F092D" w:rsidP="00AF1B8A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010A42">
        <w:rPr>
          <w:rFonts w:ascii="Arial" w:hAnsi="Arial" w:cs="Arial"/>
          <w:i/>
          <w:sz w:val="20"/>
          <w:szCs w:val="20"/>
          <w:lang w:val="ro-RO"/>
        </w:rPr>
        <w:t>Sursa: Depozitarul Central</w:t>
      </w:r>
    </w:p>
    <w:p w:rsidR="00700547" w:rsidRPr="00010A42" w:rsidRDefault="00700547" w:rsidP="00AF1B8A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p w:rsidR="006F092D" w:rsidRPr="00010A42" w:rsidRDefault="006F092D" w:rsidP="00AF1B8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 xml:space="preserve">Actiunile Societatii sunt tranzactionate la Categoria Standard a Bursei de Valori Bucuresti incepand cu anul 1998. </w:t>
      </w:r>
    </w:p>
    <w:p w:rsidR="00700547" w:rsidRPr="00010A42" w:rsidRDefault="00700547" w:rsidP="00AF1B8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6F092D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Din numarul total de 416.961.150 actiuni, pe piata de capital se tranzactioneaza un numar de 416.777.259 actiuni, restul de 183.891 actiuni</w:t>
      </w:r>
      <w:r w:rsidR="002F5E27" w:rsidRPr="00010A42">
        <w:rPr>
          <w:rFonts w:ascii="Arial" w:hAnsi="Arial" w:cs="Arial"/>
          <w:sz w:val="20"/>
          <w:szCs w:val="20"/>
          <w:lang w:val="ro-RO"/>
        </w:rPr>
        <w:t xml:space="preserve"> fiind detinute de Zentiva SA.</w:t>
      </w:r>
    </w:p>
    <w:p w:rsidR="002F5E27" w:rsidRPr="00010A42" w:rsidRDefault="002F5E27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6F092D" w:rsidRPr="00010A42" w:rsidRDefault="006F092D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Societatea nu a efectuat tranzactii cu propriile actiuni in cursul anului 201</w:t>
      </w:r>
      <w:r w:rsidR="00E026A5" w:rsidRPr="00010A42">
        <w:rPr>
          <w:rFonts w:ascii="Arial" w:hAnsi="Arial" w:cs="Arial"/>
          <w:sz w:val="20"/>
          <w:szCs w:val="20"/>
          <w:lang w:val="ro-RO"/>
        </w:rPr>
        <w:t>8</w:t>
      </w:r>
      <w:r w:rsidRPr="00010A42">
        <w:rPr>
          <w:rFonts w:ascii="Arial" w:hAnsi="Arial" w:cs="Arial"/>
          <w:sz w:val="20"/>
          <w:szCs w:val="20"/>
          <w:lang w:val="ro-RO"/>
        </w:rPr>
        <w:t>.</w:t>
      </w:r>
    </w:p>
    <w:p w:rsidR="00E026A5" w:rsidRPr="00010A42" w:rsidRDefault="00E026A5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E026A5" w:rsidRPr="00010A42" w:rsidRDefault="00E026A5" w:rsidP="00AF1B8A">
      <w:pPr>
        <w:pStyle w:val="Footer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Capitalizarea bursiera a actiunilor Zentiva SA la data de 31 decembrie 2018 a fost de 1.542,76 milioane RON.</w:t>
      </w:r>
    </w:p>
    <w:p w:rsidR="002F5E27" w:rsidRPr="00010A42" w:rsidRDefault="002F5E27" w:rsidP="00AF1B8A">
      <w:pPr>
        <w:pStyle w:val="Footer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E026A5" w:rsidRPr="00010A42" w:rsidRDefault="00E026A5" w:rsidP="00AF1B8A">
      <w:pPr>
        <w:pStyle w:val="Footer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La data de 31 decembrie 2018 pre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ul ac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iunilor sa ridicat la </w:t>
      </w:r>
      <w:r w:rsidR="002F5E27" w:rsidRPr="00010A42">
        <w:rPr>
          <w:rFonts w:ascii="Arial" w:hAnsi="Arial" w:cs="Arial"/>
          <w:sz w:val="20"/>
          <w:szCs w:val="20"/>
          <w:lang w:val="ro-RO"/>
        </w:rPr>
        <w:t xml:space="preserve">3,7 </w:t>
      </w:r>
      <w:r w:rsidRPr="00010A42">
        <w:rPr>
          <w:rFonts w:ascii="Arial" w:hAnsi="Arial" w:cs="Arial"/>
          <w:sz w:val="20"/>
          <w:szCs w:val="20"/>
          <w:lang w:val="ro-RO"/>
        </w:rPr>
        <w:t>RON / ac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iune.</w:t>
      </w:r>
    </w:p>
    <w:p w:rsidR="00E026A5" w:rsidRPr="00010A42" w:rsidRDefault="00E026A5" w:rsidP="00AF1B8A">
      <w:pPr>
        <w:pStyle w:val="Footer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DF6695" w:rsidRPr="00010A42" w:rsidRDefault="00E026A5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La 31 decembrie 2018, Compania are active nete de 630.692.665 RON, reprezent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nd peste 50% din capitalul social cu 41.696.115 RON (la 31 decembrie 2017, Compania </w:t>
      </w:r>
      <w:r w:rsidR="002F5E27" w:rsidRPr="00010A42">
        <w:rPr>
          <w:rFonts w:ascii="Arial" w:hAnsi="Arial" w:cs="Arial"/>
          <w:sz w:val="20"/>
          <w:szCs w:val="20"/>
          <w:lang w:val="ro-RO"/>
        </w:rPr>
        <w:t>avea active nete cu 368.094.969 </w:t>
      </w:r>
      <w:r w:rsidRPr="00010A42">
        <w:rPr>
          <w:rFonts w:ascii="Arial" w:hAnsi="Arial" w:cs="Arial"/>
          <w:sz w:val="20"/>
          <w:szCs w:val="20"/>
          <w:lang w:val="ro-RO"/>
        </w:rPr>
        <w:t>RON, ceea ce reprezint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mai mult de 50% din capitalul social cu 41.696.115 RON), care este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i</w:t>
      </w:r>
      <w:r w:rsidRPr="00010A42">
        <w:rPr>
          <w:rFonts w:ascii="Arial" w:hAnsi="Arial" w:cs="Arial"/>
          <w:sz w:val="20"/>
          <w:szCs w:val="20"/>
          <w:lang w:val="ro-RO"/>
        </w:rPr>
        <w:t>n conformitate cu cerin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ele Legii societ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at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ilor comerciale (Legea 31/1990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i amendamentele ulterioare).</w:t>
      </w:r>
    </w:p>
    <w:p w:rsidR="007C62B0" w:rsidRPr="00010A42" w:rsidRDefault="007C62B0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E026A5" w:rsidRPr="00010A42" w:rsidRDefault="00E026A5" w:rsidP="00AF1B8A">
      <w:pPr>
        <w:pStyle w:val="Footer"/>
        <w:spacing w:after="0" w:line="240" w:lineRule="auto"/>
        <w:rPr>
          <w:rFonts w:ascii="Arial" w:hAnsi="Arial" w:cs="Arial"/>
          <w:b/>
          <w:i/>
          <w:sz w:val="20"/>
          <w:szCs w:val="20"/>
          <w:lang w:val="ro-RO"/>
        </w:rPr>
      </w:pPr>
      <w:r w:rsidRPr="00010A42">
        <w:rPr>
          <w:rFonts w:ascii="Arial" w:hAnsi="Arial" w:cs="Arial"/>
          <w:b/>
          <w:i/>
          <w:sz w:val="20"/>
          <w:szCs w:val="20"/>
          <w:lang w:val="ro-RO"/>
        </w:rPr>
        <w:t xml:space="preserve">Fuziuni </w:t>
      </w:r>
      <w:r w:rsidR="004E21A3" w:rsidRPr="00010A42">
        <w:rPr>
          <w:rFonts w:ascii="Arial" w:hAnsi="Arial" w:cs="Arial"/>
          <w:b/>
          <w:i/>
          <w:sz w:val="20"/>
          <w:szCs w:val="20"/>
          <w:lang w:val="ro-RO"/>
        </w:rPr>
        <w:t>s</w:t>
      </w:r>
      <w:r w:rsidRPr="00010A42">
        <w:rPr>
          <w:rFonts w:ascii="Arial" w:hAnsi="Arial" w:cs="Arial"/>
          <w:b/>
          <w:i/>
          <w:sz w:val="20"/>
          <w:szCs w:val="20"/>
          <w:lang w:val="ro-RO"/>
        </w:rPr>
        <w:t>i reorganiz</w:t>
      </w:r>
      <w:r w:rsidR="004E21A3" w:rsidRPr="00010A42">
        <w:rPr>
          <w:rFonts w:ascii="Arial" w:hAnsi="Arial" w:cs="Arial"/>
          <w:b/>
          <w:i/>
          <w:sz w:val="20"/>
          <w:szCs w:val="20"/>
          <w:lang w:val="ro-RO"/>
        </w:rPr>
        <w:t>a</w:t>
      </w:r>
      <w:r w:rsidRPr="00010A42">
        <w:rPr>
          <w:rFonts w:ascii="Arial" w:hAnsi="Arial" w:cs="Arial"/>
          <w:b/>
          <w:i/>
          <w:sz w:val="20"/>
          <w:szCs w:val="20"/>
          <w:lang w:val="ro-RO"/>
        </w:rPr>
        <w:t xml:space="preserve">ri ale </w:t>
      </w:r>
      <w:r w:rsidR="004E21A3" w:rsidRPr="00010A42">
        <w:rPr>
          <w:rFonts w:ascii="Arial" w:hAnsi="Arial" w:cs="Arial"/>
          <w:b/>
          <w:i/>
          <w:sz w:val="20"/>
          <w:szCs w:val="20"/>
          <w:lang w:val="ro-RO"/>
        </w:rPr>
        <w:t>i</w:t>
      </w:r>
      <w:r w:rsidRPr="00010A42">
        <w:rPr>
          <w:rFonts w:ascii="Arial" w:hAnsi="Arial" w:cs="Arial"/>
          <w:b/>
          <w:i/>
          <w:sz w:val="20"/>
          <w:szCs w:val="20"/>
          <w:lang w:val="ro-RO"/>
        </w:rPr>
        <w:t>ntreprinderilor</w:t>
      </w:r>
    </w:p>
    <w:p w:rsidR="00E27346" w:rsidRPr="00010A42" w:rsidRDefault="00E27346" w:rsidP="00AF1B8A">
      <w:pPr>
        <w:pStyle w:val="Footer"/>
        <w:spacing w:after="0" w:line="240" w:lineRule="auto"/>
        <w:rPr>
          <w:rFonts w:ascii="Arial" w:hAnsi="Arial" w:cs="Arial"/>
          <w:b/>
          <w:i/>
          <w:sz w:val="20"/>
          <w:szCs w:val="20"/>
          <w:lang w:val="ro-RO"/>
        </w:rPr>
      </w:pPr>
    </w:p>
    <w:p w:rsidR="007C62B0" w:rsidRPr="00010A42" w:rsidRDefault="004E21A3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I</w:t>
      </w:r>
      <w:r w:rsidR="00E026A5" w:rsidRPr="00010A42">
        <w:rPr>
          <w:rFonts w:ascii="Arial" w:hAnsi="Arial" w:cs="Arial"/>
          <w:sz w:val="20"/>
          <w:szCs w:val="20"/>
          <w:lang w:val="ro-RO"/>
        </w:rPr>
        <w:t xml:space="preserve">n 2018, compania, </w:t>
      </w:r>
      <w:r w:rsidRPr="00010A42">
        <w:rPr>
          <w:rFonts w:ascii="Arial" w:hAnsi="Arial" w:cs="Arial"/>
          <w:sz w:val="20"/>
          <w:szCs w:val="20"/>
          <w:lang w:val="ro-RO"/>
        </w:rPr>
        <w:t>i</w:t>
      </w:r>
      <w:r w:rsidR="00E026A5" w:rsidRPr="00010A42">
        <w:rPr>
          <w:rFonts w:ascii="Arial" w:hAnsi="Arial" w:cs="Arial"/>
          <w:sz w:val="20"/>
          <w:szCs w:val="20"/>
          <w:lang w:val="ro-RO"/>
        </w:rPr>
        <w:t>mpreun</w:t>
      </w:r>
      <w:r w:rsidRPr="00010A42">
        <w:rPr>
          <w:rFonts w:ascii="Arial" w:hAnsi="Arial" w:cs="Arial"/>
          <w:sz w:val="20"/>
          <w:szCs w:val="20"/>
          <w:lang w:val="ro-RO"/>
        </w:rPr>
        <w:t>a</w:t>
      </w:r>
      <w:r w:rsidR="00E026A5" w:rsidRPr="00010A42">
        <w:rPr>
          <w:rFonts w:ascii="Arial" w:hAnsi="Arial" w:cs="Arial"/>
          <w:sz w:val="20"/>
          <w:szCs w:val="20"/>
          <w:lang w:val="ro-RO"/>
        </w:rPr>
        <w:t xml:space="preserve"> cu </w:t>
      </w:r>
      <w:r w:rsidRPr="00010A42">
        <w:rPr>
          <w:rFonts w:ascii="Arial" w:hAnsi="Arial" w:cs="Arial"/>
          <w:sz w:val="20"/>
          <w:szCs w:val="20"/>
          <w:lang w:val="ro-RO"/>
        </w:rPr>
        <w:t>i</w:t>
      </w:r>
      <w:r w:rsidR="00E026A5" w:rsidRPr="00010A42">
        <w:rPr>
          <w:rFonts w:ascii="Arial" w:hAnsi="Arial" w:cs="Arial"/>
          <w:sz w:val="20"/>
          <w:szCs w:val="20"/>
          <w:lang w:val="ro-RO"/>
        </w:rPr>
        <w:t>ntregul grup Zentiva, au fost v</w:t>
      </w:r>
      <w:r w:rsidRPr="00010A42">
        <w:rPr>
          <w:rFonts w:ascii="Arial" w:hAnsi="Arial" w:cs="Arial"/>
          <w:sz w:val="20"/>
          <w:szCs w:val="20"/>
          <w:lang w:val="ro-RO"/>
        </w:rPr>
        <w:t>a</w:t>
      </w:r>
      <w:r w:rsidR="00E026A5" w:rsidRPr="00010A42">
        <w:rPr>
          <w:rFonts w:ascii="Arial" w:hAnsi="Arial" w:cs="Arial"/>
          <w:sz w:val="20"/>
          <w:szCs w:val="20"/>
          <w:lang w:val="ro-RO"/>
        </w:rPr>
        <w:t>ndute de c</w:t>
      </w:r>
      <w:r w:rsidRPr="00010A42">
        <w:rPr>
          <w:rFonts w:ascii="Arial" w:hAnsi="Arial" w:cs="Arial"/>
          <w:sz w:val="20"/>
          <w:szCs w:val="20"/>
          <w:lang w:val="ro-RO"/>
        </w:rPr>
        <w:t>a</w:t>
      </w:r>
      <w:r w:rsidR="00E026A5" w:rsidRPr="00010A42">
        <w:rPr>
          <w:rFonts w:ascii="Arial" w:hAnsi="Arial" w:cs="Arial"/>
          <w:sz w:val="20"/>
          <w:szCs w:val="20"/>
          <w:lang w:val="ro-RO"/>
        </w:rPr>
        <w:t>tre Sanofi c</w:t>
      </w:r>
      <w:r w:rsidRPr="00010A42">
        <w:rPr>
          <w:rFonts w:ascii="Arial" w:hAnsi="Arial" w:cs="Arial"/>
          <w:sz w:val="20"/>
          <w:szCs w:val="20"/>
          <w:lang w:val="ro-RO"/>
        </w:rPr>
        <w:t>a</w:t>
      </w:r>
      <w:r w:rsidR="00E026A5" w:rsidRPr="00010A42">
        <w:rPr>
          <w:rFonts w:ascii="Arial" w:hAnsi="Arial" w:cs="Arial"/>
          <w:sz w:val="20"/>
          <w:szCs w:val="20"/>
          <w:lang w:val="ro-RO"/>
        </w:rPr>
        <w:t xml:space="preserve">tre Advent International. </w:t>
      </w:r>
      <w:r w:rsidRPr="00010A42">
        <w:rPr>
          <w:rFonts w:ascii="Arial" w:hAnsi="Arial" w:cs="Arial"/>
          <w:sz w:val="20"/>
          <w:szCs w:val="20"/>
          <w:lang w:val="ro-RO"/>
        </w:rPr>
        <w:t>I</w:t>
      </w:r>
      <w:r w:rsidR="00E026A5" w:rsidRPr="00010A42">
        <w:rPr>
          <w:rFonts w:ascii="Arial" w:hAnsi="Arial" w:cs="Arial"/>
          <w:sz w:val="20"/>
          <w:szCs w:val="20"/>
          <w:lang w:val="ro-RO"/>
        </w:rPr>
        <w:t>n plus fa</w:t>
      </w:r>
      <w:r w:rsidRPr="00010A42">
        <w:rPr>
          <w:rFonts w:ascii="Arial" w:hAnsi="Arial" w:cs="Arial"/>
          <w:sz w:val="20"/>
          <w:szCs w:val="20"/>
          <w:lang w:val="ro-RO"/>
        </w:rPr>
        <w:t>ta</w:t>
      </w:r>
      <w:r w:rsidR="00E026A5" w:rsidRPr="00010A42">
        <w:rPr>
          <w:rFonts w:ascii="Arial" w:hAnsi="Arial" w:cs="Arial"/>
          <w:sz w:val="20"/>
          <w:szCs w:val="20"/>
          <w:lang w:val="ro-RO"/>
        </w:rPr>
        <w:t xml:space="preserve"> de c</w:t>
      </w:r>
      <w:r w:rsidRPr="00010A42">
        <w:rPr>
          <w:rFonts w:ascii="Arial" w:hAnsi="Arial" w:cs="Arial"/>
          <w:sz w:val="20"/>
          <w:szCs w:val="20"/>
          <w:lang w:val="ro-RO"/>
        </w:rPr>
        <w:t>a</w:t>
      </w:r>
      <w:r w:rsidR="00E026A5" w:rsidRPr="00010A42">
        <w:rPr>
          <w:rFonts w:ascii="Arial" w:hAnsi="Arial" w:cs="Arial"/>
          <w:sz w:val="20"/>
          <w:szCs w:val="20"/>
          <w:lang w:val="ro-RO"/>
        </w:rPr>
        <w:t>teva tranzac</w:t>
      </w:r>
      <w:r w:rsidRPr="00010A42">
        <w:rPr>
          <w:rFonts w:ascii="Arial" w:hAnsi="Arial" w:cs="Arial"/>
          <w:sz w:val="20"/>
          <w:szCs w:val="20"/>
          <w:lang w:val="ro-RO"/>
        </w:rPr>
        <w:t>t</w:t>
      </w:r>
      <w:r w:rsidR="00E026A5" w:rsidRPr="00010A42">
        <w:rPr>
          <w:rFonts w:ascii="Arial" w:hAnsi="Arial" w:cs="Arial"/>
          <w:sz w:val="20"/>
          <w:szCs w:val="20"/>
          <w:lang w:val="ro-RO"/>
        </w:rPr>
        <w:t>ii punctuale, separarea a avut de asemenea un efect asupra anumitor aspecte ale modelului de afaceri al Companiei.</w:t>
      </w:r>
    </w:p>
    <w:p w:rsidR="00E27346" w:rsidRPr="00010A42" w:rsidRDefault="00E27346">
      <w:pPr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br w:type="page"/>
      </w:r>
    </w:p>
    <w:p w:rsidR="00E27346" w:rsidRPr="00010A42" w:rsidRDefault="00E27346" w:rsidP="00E27346">
      <w:pPr>
        <w:pStyle w:val="Heading1"/>
        <w:numPr>
          <w:ilvl w:val="0"/>
          <w:numId w:val="18"/>
        </w:numPr>
        <w:spacing w:before="0" w:after="0"/>
        <w:rPr>
          <w:rFonts w:cs="Arial"/>
          <w:color w:val="17406D" w:themeColor="text2"/>
          <w:szCs w:val="20"/>
        </w:rPr>
      </w:pPr>
      <w:bookmarkStart w:id="4" w:name="_Toc12461573"/>
      <w:r w:rsidRPr="00010A42">
        <w:rPr>
          <w:rFonts w:cs="Arial"/>
          <w:color w:val="17406D" w:themeColor="text2"/>
          <w:szCs w:val="20"/>
        </w:rPr>
        <w:lastRenderedPageBreak/>
        <w:t>Activitatea companiei (continuare)</w:t>
      </w:r>
      <w:bookmarkEnd w:id="4"/>
    </w:p>
    <w:p w:rsidR="007C62B0" w:rsidRPr="00010A42" w:rsidRDefault="007C62B0" w:rsidP="00AF1B8A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B4676A" w:rsidRPr="00010A42" w:rsidRDefault="00B4676A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5" w:name="_Toc12461574"/>
      <w:r w:rsidRPr="00010A42">
        <w:rPr>
          <w:rFonts w:cs="Arial"/>
          <w:color w:val="17406D" w:themeColor="text2"/>
          <w:szCs w:val="20"/>
        </w:rPr>
        <w:t xml:space="preserve">2.2 </w:t>
      </w:r>
      <w:r w:rsidR="006F092D" w:rsidRPr="00010A42">
        <w:rPr>
          <w:rFonts w:cs="Arial"/>
          <w:color w:val="17406D" w:themeColor="text2"/>
          <w:szCs w:val="20"/>
        </w:rPr>
        <w:t>Mediul e</w:t>
      </w:r>
      <w:r w:rsidRPr="00010A42">
        <w:rPr>
          <w:rFonts w:cs="Arial"/>
          <w:color w:val="17406D" w:themeColor="text2"/>
          <w:szCs w:val="20"/>
        </w:rPr>
        <w:t xml:space="preserve">conomic </w:t>
      </w:r>
      <w:r w:rsidR="006F092D" w:rsidRPr="00010A42">
        <w:rPr>
          <w:rFonts w:cs="Arial"/>
          <w:color w:val="17406D" w:themeColor="text2"/>
          <w:szCs w:val="20"/>
        </w:rPr>
        <w:t>si financiar</w:t>
      </w:r>
      <w:bookmarkEnd w:id="5"/>
      <w:r w:rsidRPr="00010A42">
        <w:rPr>
          <w:rFonts w:cs="Arial"/>
          <w:color w:val="17406D" w:themeColor="text2"/>
          <w:szCs w:val="20"/>
        </w:rPr>
        <w:t xml:space="preserve"> </w:t>
      </w:r>
    </w:p>
    <w:p w:rsidR="00E026A5" w:rsidRPr="00010A42" w:rsidRDefault="00E026A5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026A5" w:rsidRPr="00010A42" w:rsidRDefault="00E026A5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Evolu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 indicatorilor macroeconomici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Rom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nia</w:t>
      </w:r>
    </w:p>
    <w:p w:rsidR="00E27346" w:rsidRPr="00010A42" w:rsidRDefault="00E27346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026A5" w:rsidRPr="00010A42" w:rsidRDefault="00E026A5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Rata infla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iei a suferit fluctua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semnificative, de la 5</w:t>
      </w:r>
      <w:proofErr w:type="gramStart"/>
      <w:r w:rsidRPr="00010A42">
        <w:rPr>
          <w:rFonts w:ascii="Arial" w:hAnsi="Arial" w:cs="Arial"/>
          <w:sz w:val="20"/>
          <w:szCs w:val="20"/>
        </w:rPr>
        <w:t>,8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%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2011 la 4,63%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2018.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anul 2018, moneda na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s-a depreciat fa</w:t>
      </w:r>
      <w:r w:rsidR="004E21A3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de EUR cu 0,1%, de la 4,6597 RON / 31 decembrie 2017 la 4,6639 RON / EUR la 31 decembrie 2018:</w:t>
      </w:r>
    </w:p>
    <w:p w:rsidR="00E026A5" w:rsidRPr="00010A42" w:rsidRDefault="00E026A5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026A5" w:rsidRPr="00010A42" w:rsidRDefault="00E026A5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4A6A5" wp14:editId="19FC88D8">
                <wp:simplePos x="0" y="0"/>
                <wp:positionH relativeFrom="margin">
                  <wp:posOffset>1607820</wp:posOffset>
                </wp:positionH>
                <wp:positionV relativeFrom="paragraph">
                  <wp:posOffset>2124075</wp:posOffset>
                </wp:positionV>
                <wp:extent cx="83820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2E60" w:rsidRPr="00E026A5" w:rsidRDefault="00CE2E60" w:rsidP="00E026A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026A5">
                              <w:rPr>
                                <w:b/>
                                <w:sz w:val="16"/>
                              </w:rPr>
                              <w:t xml:space="preserve">Inflatia 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A6A5" id="Text Box 16" o:spid="_x0000_s1027" type="#_x0000_t202" style="position:absolute;margin-left:126.6pt;margin-top:167.25pt;width:66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" fillcolor="window" strokeweight=".5pt">
                <v:textbox>
                  <w:txbxContent>
                    <w:p w:rsidR="00CE2E60" w:rsidRPr="00E026A5" w:rsidRDefault="00CE2E60" w:rsidP="00E026A5">
                      <w:pPr>
                        <w:rPr>
                          <w:b/>
                          <w:sz w:val="16"/>
                        </w:rPr>
                      </w:pPr>
                      <w:r w:rsidRPr="00E026A5">
                        <w:rPr>
                          <w:b/>
                          <w:sz w:val="16"/>
                        </w:rPr>
                        <w:t xml:space="preserve">Inflatia %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A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33275" wp14:editId="2EF7D872">
                <wp:simplePos x="0" y="0"/>
                <wp:positionH relativeFrom="column">
                  <wp:posOffset>3208020</wp:posOffset>
                </wp:positionH>
                <wp:positionV relativeFrom="paragraph">
                  <wp:posOffset>2200275</wp:posOffset>
                </wp:positionV>
                <wp:extent cx="2165350" cy="2095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60" w:rsidRPr="00E026A5" w:rsidRDefault="00CE2E60">
                            <w:pPr>
                              <w:rPr>
                                <w:sz w:val="16"/>
                              </w:rPr>
                            </w:pPr>
                            <w:r w:rsidRPr="00E026A5">
                              <w:rPr>
                                <w:sz w:val="16"/>
                              </w:rPr>
                              <w:t>Rata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026A5">
                              <w:rPr>
                                <w:sz w:val="16"/>
                              </w:rPr>
                              <w:t>de schimb la final de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3275" id="Text Box 15" o:spid="_x0000_s1028" type="#_x0000_t202" style="position:absolute;margin-left:252.6pt;margin-top:173.25pt;width:170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OTlAIAALs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" fillcolor="white [3201]" strokeweight=".5pt">
                <v:textbox>
                  <w:txbxContent>
                    <w:p w:rsidR="00CE2E60" w:rsidRPr="00E026A5" w:rsidRDefault="00CE2E60">
                      <w:pPr>
                        <w:rPr>
                          <w:sz w:val="16"/>
                        </w:rPr>
                      </w:pPr>
                      <w:r w:rsidRPr="00E026A5">
                        <w:rPr>
                          <w:sz w:val="16"/>
                        </w:rPr>
                        <w:t>Rata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E026A5">
                        <w:rPr>
                          <w:sz w:val="16"/>
                        </w:rPr>
                        <w:t>de schimb la final de an</w:t>
                      </w:r>
                    </w:p>
                  </w:txbxContent>
                </v:textbox>
              </v:shape>
            </w:pict>
          </mc:Fallback>
        </mc:AlternateContent>
      </w:r>
      <w:r w:rsidRPr="00010A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A4B1E8" wp14:editId="19CF6CE2">
            <wp:extent cx="5939942" cy="2465070"/>
            <wp:effectExtent l="0" t="0" r="3810" b="1143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26A5" w:rsidRPr="00010A42" w:rsidRDefault="00E026A5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27346" w:rsidRPr="00010A42" w:rsidRDefault="00E27346" w:rsidP="00AF1B8A">
      <w:pPr>
        <w:pStyle w:val="BodyTex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B4676A" w:rsidRPr="00010A42" w:rsidRDefault="00B4676A" w:rsidP="00AF1B8A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6" w:name="_Toc12461575"/>
      <w:r w:rsidRPr="00010A42">
        <w:rPr>
          <w:rFonts w:cs="Arial"/>
          <w:color w:val="17406D" w:themeColor="text2"/>
          <w:szCs w:val="20"/>
        </w:rPr>
        <w:t xml:space="preserve">2.2.1 </w:t>
      </w:r>
      <w:r w:rsidR="006F092D" w:rsidRPr="00010A42">
        <w:rPr>
          <w:rFonts w:cs="Arial"/>
          <w:color w:val="17406D" w:themeColor="text2"/>
          <w:szCs w:val="20"/>
        </w:rPr>
        <w:t>Industria farmaceutica</w:t>
      </w:r>
      <w:bookmarkEnd w:id="6"/>
    </w:p>
    <w:p w:rsidR="006F092D" w:rsidRPr="00010A42" w:rsidRDefault="006F092D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DF6695" w:rsidRPr="00010A42" w:rsidRDefault="00FC50A6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Pia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a farmaceutic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din Rom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nia, incluz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nd at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t medicamentele eliberate pe baz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de prescrip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ie medical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, c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t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i cele f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r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prescrip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ie medical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, a avut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i</w:t>
      </w:r>
      <w:r w:rsidRPr="00010A42">
        <w:rPr>
          <w:rFonts w:ascii="Arial" w:hAnsi="Arial" w:cs="Arial"/>
          <w:sz w:val="20"/>
          <w:szCs w:val="20"/>
          <w:lang w:val="ro-RO"/>
        </w:rPr>
        <w:t>n 2018 o rat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de cre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tere de dou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cifre de 13,4% fa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de anul precedent, ating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nd nivelul de 3,374 milioane EUR</w:t>
      </w:r>
      <w:r w:rsidR="00E27346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sz w:val="20"/>
          <w:szCs w:val="20"/>
          <w:lang w:val="ro-RO"/>
        </w:rPr>
        <w:t>(Sursa: Raportul IMS din decembrie 2018).</w:t>
      </w:r>
    </w:p>
    <w:p w:rsidR="00E27346" w:rsidRPr="00010A42" w:rsidRDefault="00E27346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B4676A" w:rsidRPr="00010A42" w:rsidRDefault="006F092D" w:rsidP="00AF1B8A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7" w:name="_Toc12461576"/>
      <w:r w:rsidRPr="00010A42">
        <w:rPr>
          <w:rFonts w:cs="Arial"/>
          <w:color w:val="17406D" w:themeColor="text2"/>
          <w:szCs w:val="20"/>
        </w:rPr>
        <w:t>2.2.2 Activitatea</w:t>
      </w:r>
      <w:r w:rsidR="00B4676A" w:rsidRPr="00010A42">
        <w:rPr>
          <w:rFonts w:cs="Arial"/>
          <w:color w:val="17406D" w:themeColor="text2"/>
          <w:szCs w:val="20"/>
        </w:rPr>
        <w:t xml:space="preserve"> </w:t>
      </w:r>
      <w:r w:rsidRPr="00010A42">
        <w:rPr>
          <w:rFonts w:cs="Arial"/>
          <w:color w:val="17406D" w:themeColor="text2"/>
          <w:szCs w:val="20"/>
        </w:rPr>
        <w:t>companiei</w:t>
      </w:r>
      <w:r w:rsidR="00B4676A" w:rsidRPr="00010A42">
        <w:rPr>
          <w:rFonts w:cs="Arial"/>
          <w:color w:val="17406D" w:themeColor="text2"/>
          <w:szCs w:val="20"/>
        </w:rPr>
        <w:t xml:space="preserve"> in 201</w:t>
      </w:r>
      <w:r w:rsidR="00FC50A6" w:rsidRPr="00010A42">
        <w:rPr>
          <w:rFonts w:cs="Arial"/>
          <w:color w:val="17406D" w:themeColor="text2"/>
          <w:szCs w:val="20"/>
        </w:rPr>
        <w:t>8</w:t>
      </w:r>
      <w:bookmarkEnd w:id="7"/>
    </w:p>
    <w:p w:rsidR="00DF6695" w:rsidRPr="00010A42" w:rsidRDefault="00DF6695" w:rsidP="00AF1B8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FC50A6" w:rsidRPr="00010A42" w:rsidRDefault="00FC50A6" w:rsidP="00E27346">
      <w:pPr>
        <w:pStyle w:val="Body"/>
        <w:spacing w:after="0" w:line="240" w:lineRule="auto"/>
        <w:ind w:left="0"/>
        <w:jc w:val="left"/>
        <w:rPr>
          <w:rFonts w:ascii="Arial" w:hAnsi="Arial" w:cs="Arial"/>
          <w:kern w:val="0"/>
          <w:sz w:val="20"/>
          <w:szCs w:val="20"/>
          <w:lang w:val="ro-RO"/>
        </w:rPr>
      </w:pPr>
      <w:r w:rsidRPr="00010A42">
        <w:rPr>
          <w:rFonts w:ascii="Arial" w:hAnsi="Arial" w:cs="Arial"/>
          <w:kern w:val="0"/>
          <w:sz w:val="20"/>
          <w:szCs w:val="20"/>
          <w:lang w:val="ro-RO"/>
        </w:rPr>
        <w:t>Rezultatele ob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inute de Zentiva SA 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i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n cursul anului 2018 sunt datorate at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t performan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ei industriale a companiei, c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t 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s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i unei strategii comerciale adecvate.</w:t>
      </w:r>
    </w:p>
    <w:p w:rsidR="00FC50A6" w:rsidRPr="00010A42" w:rsidRDefault="00FC50A6" w:rsidP="00AF1B8A">
      <w:pPr>
        <w:pStyle w:val="Body"/>
        <w:spacing w:after="0" w:line="240" w:lineRule="auto"/>
        <w:jc w:val="left"/>
        <w:rPr>
          <w:rFonts w:ascii="Arial" w:hAnsi="Arial" w:cs="Arial"/>
          <w:kern w:val="0"/>
          <w:sz w:val="20"/>
          <w:szCs w:val="20"/>
          <w:lang w:val="ro-RO"/>
        </w:rPr>
      </w:pPr>
    </w:p>
    <w:p w:rsidR="00FC50A6" w:rsidRPr="00010A42" w:rsidRDefault="004E21A3" w:rsidP="00E27346">
      <w:pPr>
        <w:pStyle w:val="Body"/>
        <w:spacing w:after="0" w:line="240" w:lineRule="auto"/>
        <w:ind w:left="0"/>
        <w:jc w:val="left"/>
        <w:rPr>
          <w:rFonts w:ascii="Arial" w:hAnsi="Arial" w:cs="Arial"/>
          <w:kern w:val="0"/>
          <w:sz w:val="20"/>
          <w:szCs w:val="20"/>
          <w:lang w:val="ro-RO"/>
        </w:rPr>
      </w:pPr>
      <w:r w:rsidRPr="00010A42">
        <w:rPr>
          <w:rFonts w:ascii="Arial" w:hAnsi="Arial" w:cs="Arial"/>
          <w:kern w:val="0"/>
          <w:sz w:val="20"/>
          <w:szCs w:val="20"/>
          <w:lang w:val="ro-RO"/>
        </w:rPr>
        <w:t>I</w:t>
      </w:r>
      <w:r w:rsidR="00FC50A6" w:rsidRPr="00010A42">
        <w:rPr>
          <w:rFonts w:ascii="Arial" w:hAnsi="Arial" w:cs="Arial"/>
          <w:kern w:val="0"/>
          <w:sz w:val="20"/>
          <w:szCs w:val="20"/>
          <w:lang w:val="ro-RO"/>
        </w:rPr>
        <w:t>n anul 2018, volumul de produc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="00FC50A6" w:rsidRPr="00010A42">
        <w:rPr>
          <w:rFonts w:ascii="Arial" w:hAnsi="Arial" w:cs="Arial"/>
          <w:kern w:val="0"/>
          <w:sz w:val="20"/>
          <w:szCs w:val="20"/>
          <w:lang w:val="ro-RO"/>
        </w:rPr>
        <w:t>ie realizat a fost mai mare cu 11,22 milioane unit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at</w:t>
      </w:r>
      <w:r w:rsidR="00FC50A6" w:rsidRPr="00010A42">
        <w:rPr>
          <w:rFonts w:ascii="Arial" w:hAnsi="Arial" w:cs="Arial"/>
          <w:kern w:val="0"/>
          <w:sz w:val="20"/>
          <w:szCs w:val="20"/>
          <w:lang w:val="ro-RO"/>
        </w:rPr>
        <w:t>i comerciale dec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="00FC50A6" w:rsidRPr="00010A42">
        <w:rPr>
          <w:rFonts w:ascii="Arial" w:hAnsi="Arial" w:cs="Arial"/>
          <w:kern w:val="0"/>
          <w:sz w:val="20"/>
          <w:szCs w:val="20"/>
          <w:lang w:val="ro-RO"/>
        </w:rPr>
        <w:t>t produc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="00FC50A6" w:rsidRPr="00010A42">
        <w:rPr>
          <w:rFonts w:ascii="Arial" w:hAnsi="Arial" w:cs="Arial"/>
          <w:kern w:val="0"/>
          <w:sz w:val="20"/>
          <w:szCs w:val="20"/>
          <w:lang w:val="ro-RO"/>
        </w:rPr>
        <w:t>ia realizat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="00FC50A6"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i</w:t>
      </w:r>
      <w:r w:rsidR="00FC50A6" w:rsidRPr="00010A42">
        <w:rPr>
          <w:rFonts w:ascii="Arial" w:hAnsi="Arial" w:cs="Arial"/>
          <w:kern w:val="0"/>
          <w:sz w:val="20"/>
          <w:szCs w:val="20"/>
          <w:lang w:val="ro-RO"/>
        </w:rPr>
        <w:t>n anul 2017, respectiv cu 12,5% mai mare.</w:t>
      </w:r>
    </w:p>
    <w:p w:rsidR="00E27346" w:rsidRPr="00010A42" w:rsidRDefault="00E27346" w:rsidP="00E27346">
      <w:pPr>
        <w:pStyle w:val="Body"/>
        <w:spacing w:after="0" w:line="240" w:lineRule="auto"/>
        <w:ind w:left="0"/>
        <w:jc w:val="left"/>
        <w:rPr>
          <w:rFonts w:ascii="Arial" w:hAnsi="Arial" w:cs="Arial"/>
          <w:kern w:val="0"/>
          <w:sz w:val="20"/>
          <w:szCs w:val="20"/>
          <w:lang w:val="ro-RO"/>
        </w:rPr>
      </w:pPr>
    </w:p>
    <w:p w:rsidR="00FC50A6" w:rsidRPr="00010A42" w:rsidRDefault="00FC50A6" w:rsidP="00E27346">
      <w:pPr>
        <w:pStyle w:val="Body"/>
        <w:spacing w:after="0" w:line="240" w:lineRule="auto"/>
        <w:ind w:left="0"/>
        <w:jc w:val="left"/>
        <w:rPr>
          <w:rFonts w:ascii="Arial" w:hAnsi="Arial" w:cs="Arial"/>
          <w:kern w:val="0"/>
          <w:sz w:val="20"/>
          <w:szCs w:val="20"/>
          <w:lang w:val="ro-RO"/>
        </w:rPr>
      </w:pP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Compania a 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i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ncheiat anul 2018 cu un profit net de 262.620.976 RON.</w:t>
      </w:r>
    </w:p>
    <w:p w:rsidR="00E27346" w:rsidRPr="00010A42" w:rsidRDefault="00E27346" w:rsidP="00E27346">
      <w:pPr>
        <w:pStyle w:val="Body"/>
        <w:spacing w:after="0" w:line="240" w:lineRule="auto"/>
        <w:ind w:left="0"/>
        <w:jc w:val="left"/>
        <w:rPr>
          <w:rFonts w:ascii="Arial" w:hAnsi="Arial" w:cs="Arial"/>
          <w:kern w:val="0"/>
          <w:sz w:val="20"/>
          <w:szCs w:val="20"/>
          <w:lang w:val="ro-RO"/>
        </w:rPr>
      </w:pPr>
    </w:p>
    <w:p w:rsidR="00FC50A6" w:rsidRPr="00010A42" w:rsidRDefault="00FC50A6" w:rsidP="00E27346">
      <w:pPr>
        <w:pStyle w:val="Body"/>
        <w:spacing w:after="0" w:line="240" w:lineRule="auto"/>
        <w:ind w:left="0"/>
        <w:jc w:val="left"/>
        <w:rPr>
          <w:rFonts w:ascii="Arial" w:hAnsi="Arial" w:cs="Arial"/>
          <w:kern w:val="0"/>
          <w:sz w:val="20"/>
          <w:szCs w:val="20"/>
          <w:lang w:val="ro-RO"/>
        </w:rPr>
      </w:pPr>
      <w:r w:rsidRPr="00010A42">
        <w:rPr>
          <w:rFonts w:ascii="Arial" w:hAnsi="Arial" w:cs="Arial"/>
          <w:kern w:val="0"/>
          <w:sz w:val="20"/>
          <w:szCs w:val="20"/>
          <w:lang w:val="ro-RO"/>
        </w:rPr>
        <w:t>Cele mai importante realiz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ri ale anului 2018 au fost urm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toarele:</w:t>
      </w:r>
    </w:p>
    <w:p w:rsidR="00FC50A6" w:rsidRPr="00010A42" w:rsidRDefault="00FC50A6" w:rsidP="00E27346">
      <w:pPr>
        <w:pStyle w:val="Body"/>
        <w:numPr>
          <w:ilvl w:val="0"/>
          <w:numId w:val="21"/>
        </w:numPr>
        <w:spacing w:after="0" w:line="240" w:lineRule="auto"/>
        <w:ind w:left="426" w:hanging="284"/>
        <w:jc w:val="left"/>
        <w:rPr>
          <w:rFonts w:ascii="Arial" w:hAnsi="Arial" w:cs="Arial"/>
          <w:kern w:val="0"/>
          <w:sz w:val="20"/>
          <w:szCs w:val="20"/>
          <w:lang w:val="ro-RO"/>
        </w:rPr>
      </w:pPr>
      <w:r w:rsidRPr="00010A42">
        <w:rPr>
          <w:rFonts w:ascii="Arial" w:hAnsi="Arial" w:cs="Arial"/>
          <w:kern w:val="0"/>
          <w:sz w:val="20"/>
          <w:szCs w:val="20"/>
          <w:lang w:val="ro-RO"/>
        </w:rPr>
        <w:t>finalizarea cu succes a transferului altor 10 produse care urmeaz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a fi fabricate local;</w:t>
      </w:r>
    </w:p>
    <w:p w:rsidR="00FC50A6" w:rsidRPr="00010A42" w:rsidRDefault="00FC50A6" w:rsidP="00E27346">
      <w:pPr>
        <w:pStyle w:val="Body"/>
        <w:numPr>
          <w:ilvl w:val="0"/>
          <w:numId w:val="21"/>
        </w:numPr>
        <w:spacing w:after="0" w:line="240" w:lineRule="auto"/>
        <w:ind w:left="426" w:hanging="284"/>
        <w:jc w:val="left"/>
        <w:rPr>
          <w:rFonts w:ascii="Arial" w:hAnsi="Arial" w:cs="Arial"/>
          <w:kern w:val="0"/>
          <w:sz w:val="20"/>
          <w:szCs w:val="20"/>
          <w:lang w:val="ro-RO"/>
        </w:rPr>
      </w:pPr>
      <w:r w:rsidRPr="00010A42">
        <w:rPr>
          <w:rFonts w:ascii="Arial" w:hAnsi="Arial" w:cs="Arial"/>
          <w:kern w:val="0"/>
          <w:sz w:val="20"/>
          <w:szCs w:val="20"/>
          <w:lang w:val="ro-RO"/>
        </w:rPr>
        <w:t>Exportul a reprezentat 55% din totalul planului de produc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ie (55,55 milioane unit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i comerciale) pentru pia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a european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(Germania, Fran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a, Republica Ceh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, Slovacia, Rusia etc.), comparativ cu nivelul v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nz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rilor realizate 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i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n anul respectiv, reprezent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nd 53% cifra de afaceri total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(474.196 mii RON cifra de afaceri din care v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nz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rile la export reprezint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250.535 mii RON);</w:t>
      </w:r>
    </w:p>
    <w:p w:rsidR="00B4676A" w:rsidRPr="00010A42" w:rsidRDefault="00FC50A6" w:rsidP="00E27346">
      <w:pPr>
        <w:pStyle w:val="Body"/>
        <w:numPr>
          <w:ilvl w:val="0"/>
          <w:numId w:val="21"/>
        </w:numPr>
        <w:spacing w:after="0" w:line="240" w:lineRule="auto"/>
        <w:ind w:left="426" w:hanging="284"/>
        <w:jc w:val="left"/>
        <w:rPr>
          <w:rFonts w:ascii="Arial" w:hAnsi="Arial" w:cs="Arial"/>
          <w:kern w:val="0"/>
          <w:sz w:val="20"/>
          <w:szCs w:val="20"/>
          <w:lang w:val="en-US"/>
        </w:rPr>
      </w:pPr>
      <w:r w:rsidRPr="00010A42">
        <w:rPr>
          <w:rFonts w:ascii="Arial" w:hAnsi="Arial" w:cs="Arial"/>
          <w:kern w:val="0"/>
          <w:sz w:val="20"/>
          <w:szCs w:val="20"/>
          <w:lang w:val="ro-RO"/>
        </w:rPr>
        <w:t>Investi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ii 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i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n valoare total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a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de 20 </w:t>
      </w:r>
      <w:r w:rsidR="0048607F" w:rsidRPr="00010A42">
        <w:rPr>
          <w:rFonts w:ascii="Arial" w:hAnsi="Arial" w:cs="Arial"/>
          <w:kern w:val="0"/>
          <w:sz w:val="20"/>
          <w:szCs w:val="20"/>
          <w:lang w:val="ro-RO"/>
        </w:rPr>
        <w:t>mil</w:t>
      </w:r>
      <w:r w:rsidR="00EA3C1E"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RON (echivalentul a 4,3 milioane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 xml:space="preserve"> EUR) pentru echipamente noi de produc</w:t>
      </w:r>
      <w:r w:rsidR="004E21A3" w:rsidRPr="00010A42">
        <w:rPr>
          <w:rFonts w:ascii="Arial" w:hAnsi="Arial" w:cs="Arial"/>
          <w:kern w:val="0"/>
          <w:sz w:val="20"/>
          <w:szCs w:val="20"/>
          <w:lang w:val="ro-RO"/>
        </w:rPr>
        <w:t>t</w:t>
      </w:r>
      <w:r w:rsidRPr="00010A42">
        <w:rPr>
          <w:rFonts w:ascii="Arial" w:hAnsi="Arial" w:cs="Arial"/>
          <w:kern w:val="0"/>
          <w:sz w:val="20"/>
          <w:szCs w:val="20"/>
          <w:lang w:val="ro-RO"/>
        </w:rPr>
        <w:t>ie, modernizarea echipamentelor existente.</w:t>
      </w:r>
    </w:p>
    <w:p w:rsidR="00E27346" w:rsidRPr="00010A42" w:rsidRDefault="00E27346">
      <w:pPr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br w:type="page"/>
      </w:r>
    </w:p>
    <w:p w:rsidR="00E27346" w:rsidRPr="00010A42" w:rsidRDefault="00E27346" w:rsidP="00E27346">
      <w:pPr>
        <w:pStyle w:val="Heading1"/>
        <w:numPr>
          <w:ilvl w:val="0"/>
          <w:numId w:val="22"/>
        </w:numPr>
        <w:spacing w:before="0" w:after="0"/>
        <w:rPr>
          <w:rFonts w:cs="Arial"/>
          <w:color w:val="17406D" w:themeColor="text2"/>
          <w:szCs w:val="20"/>
        </w:rPr>
      </w:pPr>
      <w:bookmarkStart w:id="8" w:name="_Toc12461577"/>
      <w:r w:rsidRPr="00010A42">
        <w:rPr>
          <w:rFonts w:cs="Arial"/>
          <w:color w:val="17406D" w:themeColor="text2"/>
          <w:szCs w:val="20"/>
        </w:rPr>
        <w:lastRenderedPageBreak/>
        <w:t>Activitatea companiei (continuare)</w:t>
      </w:r>
      <w:bookmarkEnd w:id="8"/>
    </w:p>
    <w:p w:rsidR="00E27346" w:rsidRPr="00010A42" w:rsidRDefault="00E27346" w:rsidP="00E27346">
      <w:pPr>
        <w:pStyle w:val="Body"/>
        <w:spacing w:after="0" w:line="240" w:lineRule="auto"/>
        <w:ind w:left="0"/>
        <w:jc w:val="left"/>
        <w:rPr>
          <w:rFonts w:ascii="Arial" w:hAnsi="Arial" w:cs="Arial"/>
          <w:kern w:val="0"/>
          <w:sz w:val="20"/>
          <w:szCs w:val="20"/>
          <w:lang w:val="en-US"/>
        </w:rPr>
      </w:pPr>
    </w:p>
    <w:p w:rsidR="00B4676A" w:rsidRPr="00010A42" w:rsidRDefault="006F092D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9" w:name="_Toc12461578"/>
      <w:r w:rsidRPr="00010A42">
        <w:rPr>
          <w:rFonts w:cs="Arial"/>
          <w:color w:val="17406D" w:themeColor="text2"/>
          <w:szCs w:val="20"/>
        </w:rPr>
        <w:t>2.3 Portfoliul de</w:t>
      </w:r>
      <w:r w:rsidR="00B4676A" w:rsidRPr="00010A42">
        <w:rPr>
          <w:rFonts w:cs="Arial"/>
          <w:color w:val="17406D" w:themeColor="text2"/>
          <w:szCs w:val="20"/>
        </w:rPr>
        <w:t xml:space="preserve"> produ</w:t>
      </w:r>
      <w:r w:rsidRPr="00010A42">
        <w:rPr>
          <w:rFonts w:cs="Arial"/>
          <w:color w:val="17406D" w:themeColor="text2"/>
          <w:szCs w:val="20"/>
        </w:rPr>
        <w:t>se</w:t>
      </w:r>
      <w:r w:rsidR="00B4676A" w:rsidRPr="00010A42">
        <w:rPr>
          <w:rFonts w:cs="Arial"/>
          <w:color w:val="17406D" w:themeColor="text2"/>
          <w:szCs w:val="20"/>
        </w:rPr>
        <w:t xml:space="preserve">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i</w:t>
      </w:r>
      <w:r w:rsidR="00B4676A" w:rsidRPr="00010A42">
        <w:rPr>
          <w:rFonts w:cs="Arial"/>
          <w:color w:val="17406D" w:themeColor="text2"/>
          <w:szCs w:val="20"/>
        </w:rPr>
        <w:t xml:space="preserve"> </w:t>
      </w:r>
      <w:r w:rsidRPr="00010A42">
        <w:rPr>
          <w:rFonts w:cs="Arial"/>
          <w:color w:val="17406D" w:themeColor="text2"/>
          <w:szCs w:val="20"/>
        </w:rPr>
        <w:t>piata de desfacere</w:t>
      </w:r>
      <w:bookmarkEnd w:id="9"/>
    </w:p>
    <w:p w:rsidR="00B4676A" w:rsidRPr="00010A42" w:rsidRDefault="00B4676A" w:rsidP="00AF1B8A">
      <w:pPr>
        <w:pStyle w:val="BodyText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E27346" w:rsidRPr="00010A42" w:rsidRDefault="001C70E5" w:rsidP="00E27346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10" w:name="_Toc12461579"/>
      <w:r w:rsidRPr="00010A42">
        <w:rPr>
          <w:rFonts w:cs="Arial"/>
          <w:color w:val="17406D" w:themeColor="text2"/>
          <w:szCs w:val="20"/>
        </w:rPr>
        <w:t>2.3.1. Baza de raportare</w:t>
      </w:r>
      <w:bookmarkEnd w:id="10"/>
    </w:p>
    <w:p w:rsidR="00E27346" w:rsidRPr="00010A42" w:rsidRDefault="00E27346" w:rsidP="00E27346">
      <w:pPr>
        <w:pStyle w:val="BodyText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1C70E5" w:rsidRPr="00010A42" w:rsidRDefault="001C70E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La 31 decembrie 2018, Zentiva SA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ntocmit situa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financiare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conformitate cu Ordinul Ministerului Finan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elor nr. 2844/2016 privind aprobarea reglement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rilor contabile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conformitate cu Standardele Interna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ionale de Raportare Financiar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aplicabile societ</w:t>
      </w:r>
      <w:r w:rsidR="004E21A3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ilor comerciale ale c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ror valori mobiliare sunt acceptate pentru tranzac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ionare pe o pia</w:t>
      </w:r>
      <w:r w:rsidR="004E21A3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reglementat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cu toate modific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complet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ulterioare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vigoare.</w:t>
      </w:r>
    </w:p>
    <w:p w:rsidR="001C70E5" w:rsidRPr="00010A42" w:rsidRDefault="001C70E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C70E5" w:rsidRPr="00010A42" w:rsidRDefault="001C70E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Vanzari – volume si valori</w:t>
      </w:r>
    </w:p>
    <w:p w:rsidR="00BA7B03" w:rsidRPr="00010A42" w:rsidRDefault="00BA7B0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5"/>
        <w:gridCol w:w="1134"/>
        <w:gridCol w:w="1134"/>
      </w:tblGrid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0E5" w:rsidRPr="00010A42" w:rsidRDefault="001C70E5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1C70E5" w:rsidRPr="00010A42" w:rsidRDefault="001C70E5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BA7B03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BA7B03" w:rsidRPr="00010A42" w:rsidRDefault="00BA7B03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B03" w:rsidRPr="00010A42" w:rsidRDefault="00BA7B03" w:rsidP="00AF1B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B03" w:rsidRPr="00010A42" w:rsidRDefault="00BA7B03" w:rsidP="00AF1B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V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nz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ri de bunuri (milioane RON)</w:t>
            </w:r>
          </w:p>
        </w:tc>
        <w:tc>
          <w:tcPr>
            <w:tcW w:w="1134" w:type="dxa"/>
            <w:vAlign w:val="center"/>
          </w:tcPr>
          <w:p w:rsidR="001C70E5" w:rsidRPr="00010A42" w:rsidRDefault="004C2D2C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000000"/>
                <w:sz w:val="20"/>
                <w:szCs w:val="20"/>
              </w:rPr>
              <w:t>426,</w:t>
            </w:r>
            <w:r w:rsidR="001C70E5" w:rsidRPr="00010A4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C70E5" w:rsidRPr="00010A42" w:rsidRDefault="004C2D2C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000000"/>
                <w:sz w:val="20"/>
                <w:szCs w:val="20"/>
              </w:rPr>
              <w:t>425,</w:t>
            </w:r>
            <w:r w:rsidR="001C70E5" w:rsidRPr="00010A4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Cantitatea v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ndut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 xml:space="preserve"> (milioane de unit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at</w:t>
            </w:r>
            <w:r w:rsidRPr="00010A42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134" w:type="dxa"/>
            <w:vAlign w:val="center"/>
          </w:tcPr>
          <w:p w:rsidR="001C70E5" w:rsidRPr="00010A42" w:rsidRDefault="004C2D2C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000000"/>
                <w:sz w:val="20"/>
                <w:szCs w:val="20"/>
              </w:rPr>
              <w:t>92,</w:t>
            </w:r>
            <w:r w:rsidR="001C70E5" w:rsidRPr="00010A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C70E5" w:rsidRPr="00010A42" w:rsidRDefault="004C2D2C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000000"/>
                <w:sz w:val="20"/>
                <w:szCs w:val="20"/>
              </w:rPr>
              <w:t>97,</w:t>
            </w:r>
            <w:r w:rsidR="001C70E5" w:rsidRPr="00010A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Pre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>ul mediu de v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nzare (RON / unitate v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ndut</w:t>
            </w:r>
            <w:r w:rsidR="004E21A3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C70E5" w:rsidRPr="00010A42" w:rsidRDefault="004C2D2C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1C70E5" w:rsidRPr="00010A4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1C70E5" w:rsidRPr="00010A42" w:rsidRDefault="004C2D2C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1C70E5" w:rsidRPr="00010A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</w:tbl>
    <w:p w:rsidR="00BA7B03" w:rsidRPr="00010A42" w:rsidRDefault="00BA7B03" w:rsidP="00AF1B8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A7B03" w:rsidRPr="00010A42" w:rsidRDefault="00BA7B03" w:rsidP="00AF1B8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C70E5" w:rsidRPr="00010A42" w:rsidRDefault="001C70E5" w:rsidP="00AF1B8A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010A42">
        <w:rPr>
          <w:rFonts w:ascii="Arial" w:hAnsi="Arial" w:cs="Arial"/>
          <w:i/>
          <w:sz w:val="18"/>
          <w:szCs w:val="20"/>
        </w:rPr>
        <w:t>Sursa: Zentiva, Raportul situa</w:t>
      </w:r>
      <w:r w:rsidR="004E21A3" w:rsidRPr="00010A42">
        <w:rPr>
          <w:rFonts w:ascii="Arial" w:hAnsi="Arial" w:cs="Arial"/>
          <w:i/>
          <w:sz w:val="18"/>
          <w:szCs w:val="20"/>
        </w:rPr>
        <w:t>t</w:t>
      </w:r>
      <w:r w:rsidRPr="00010A42">
        <w:rPr>
          <w:rFonts w:ascii="Arial" w:hAnsi="Arial" w:cs="Arial"/>
          <w:i/>
          <w:sz w:val="18"/>
          <w:szCs w:val="20"/>
        </w:rPr>
        <w:t xml:space="preserve">iilor financiare, nota 5 </w:t>
      </w:r>
    </w:p>
    <w:p w:rsidR="00BA7B03" w:rsidRPr="00010A42" w:rsidRDefault="00BA7B0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0E5" w:rsidRPr="00010A42" w:rsidRDefault="001C70E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Procentul de produse OTC din cadrul Zentiva SA (medicamente f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prescrip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medical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) din totalul v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nz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rilor a reprezentat 11%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2018 fa</w:t>
      </w:r>
      <w:r w:rsidR="004E21A3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de 14%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anul precedent.</w:t>
      </w:r>
    </w:p>
    <w:p w:rsidR="001C70E5" w:rsidRPr="00010A42" w:rsidRDefault="001C70E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0E5" w:rsidRPr="00010A42" w:rsidRDefault="001C70E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V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nz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rile pe tipuri de produse 2017</w:t>
      </w:r>
      <w:r w:rsidR="0033690C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-</w:t>
      </w:r>
      <w:r w:rsidR="0033690C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 xml:space="preserve">2018 sunt prezentate mai </w:t>
      </w:r>
      <w:proofErr w:type="gramStart"/>
      <w:r w:rsidRPr="00010A42">
        <w:rPr>
          <w:rFonts w:ascii="Arial" w:hAnsi="Arial" w:cs="Arial"/>
          <w:sz w:val="20"/>
          <w:szCs w:val="20"/>
        </w:rPr>
        <w:t>jos</w:t>
      </w:r>
      <w:proofErr w:type="gramEnd"/>
      <w:r w:rsidRPr="00010A42">
        <w:rPr>
          <w:rFonts w:ascii="Arial" w:hAnsi="Arial" w:cs="Arial"/>
          <w:sz w:val="20"/>
          <w:szCs w:val="20"/>
        </w:rPr>
        <w:t>:</w:t>
      </w:r>
    </w:p>
    <w:p w:rsidR="00BA7B03" w:rsidRPr="00010A42" w:rsidRDefault="00BA7B0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5"/>
        <w:gridCol w:w="1134"/>
        <w:gridCol w:w="1167"/>
      </w:tblGrid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Tip produs</w:t>
            </w:r>
          </w:p>
        </w:tc>
        <w:tc>
          <w:tcPr>
            <w:tcW w:w="1134" w:type="dxa"/>
            <w:vAlign w:val="center"/>
          </w:tcPr>
          <w:p w:rsidR="001C70E5" w:rsidRPr="00010A42" w:rsidRDefault="001C70E5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67" w:type="dxa"/>
            <w:vAlign w:val="center"/>
          </w:tcPr>
          <w:p w:rsidR="001C70E5" w:rsidRPr="00010A42" w:rsidRDefault="001C70E5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</w:tr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C70E5" w:rsidRPr="00010A42" w:rsidRDefault="001C70E5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67" w:type="dxa"/>
            <w:vAlign w:val="bottom"/>
          </w:tcPr>
          <w:p w:rsidR="001C70E5" w:rsidRPr="00010A42" w:rsidRDefault="001C70E5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07B2E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407B2E" w:rsidRPr="00010A42" w:rsidRDefault="00407B2E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B2E" w:rsidRPr="00010A42" w:rsidRDefault="00407B2E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407B2E" w:rsidRPr="00010A42" w:rsidRDefault="00407B2E" w:rsidP="00AF1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RX</w:t>
            </w:r>
          </w:p>
        </w:tc>
        <w:tc>
          <w:tcPr>
            <w:tcW w:w="1134" w:type="dxa"/>
            <w:vAlign w:val="bottom"/>
          </w:tcPr>
          <w:p w:rsidR="001C70E5" w:rsidRPr="00010A42" w:rsidRDefault="001C70E5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67" w:type="dxa"/>
            <w:vAlign w:val="bottom"/>
          </w:tcPr>
          <w:p w:rsidR="001C70E5" w:rsidRPr="00010A42" w:rsidRDefault="001C70E5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1C70E5" w:rsidRPr="00010A42" w:rsidTr="00BA7B03">
        <w:tc>
          <w:tcPr>
            <w:tcW w:w="7055" w:type="dxa"/>
            <w:shd w:val="clear" w:color="auto" w:fill="auto"/>
            <w:noWrap/>
            <w:vAlign w:val="bottom"/>
          </w:tcPr>
          <w:p w:rsidR="001C70E5" w:rsidRPr="00010A42" w:rsidRDefault="001C70E5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OTC</w:t>
            </w:r>
          </w:p>
        </w:tc>
        <w:tc>
          <w:tcPr>
            <w:tcW w:w="1134" w:type="dxa"/>
            <w:vAlign w:val="bottom"/>
          </w:tcPr>
          <w:p w:rsidR="001C70E5" w:rsidRPr="00010A42" w:rsidRDefault="001C70E5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7" w:type="dxa"/>
            <w:vAlign w:val="bottom"/>
          </w:tcPr>
          <w:p w:rsidR="001C70E5" w:rsidRPr="00010A42" w:rsidRDefault="001C70E5" w:rsidP="00AF1B8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1C70E5" w:rsidRPr="00010A42" w:rsidRDefault="001C70E5" w:rsidP="00AF1B8A">
      <w:pPr>
        <w:pStyle w:val="BodyText"/>
        <w:spacing w:after="0" w:line="240" w:lineRule="auto"/>
        <w:jc w:val="left"/>
        <w:rPr>
          <w:rFonts w:ascii="Arial" w:hAnsi="Arial" w:cs="Arial"/>
          <w:sz w:val="18"/>
          <w:szCs w:val="20"/>
        </w:rPr>
      </w:pPr>
    </w:p>
    <w:p w:rsidR="00BA7B03" w:rsidRPr="00010A42" w:rsidRDefault="00BA7B03" w:rsidP="00AF1B8A">
      <w:pPr>
        <w:pStyle w:val="BodyText"/>
        <w:spacing w:after="0" w:line="240" w:lineRule="auto"/>
        <w:jc w:val="left"/>
        <w:rPr>
          <w:rFonts w:ascii="Arial" w:hAnsi="Arial" w:cs="Arial"/>
          <w:sz w:val="18"/>
          <w:szCs w:val="20"/>
        </w:rPr>
      </w:pPr>
    </w:p>
    <w:p w:rsidR="001C70E5" w:rsidRPr="00010A42" w:rsidRDefault="001C70E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Politica Zentiva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aceea de a c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="0048607F" w:rsidRPr="00010A42">
        <w:rPr>
          <w:rFonts w:ascii="Arial" w:hAnsi="Arial" w:cs="Arial"/>
          <w:sz w:val="20"/>
          <w:szCs w:val="20"/>
        </w:rPr>
        <w:t>uta permanent furnizori</w:t>
      </w:r>
      <w:r w:rsidRPr="00010A42">
        <w:rPr>
          <w:rFonts w:ascii="Arial" w:hAnsi="Arial" w:cs="Arial"/>
          <w:sz w:val="20"/>
          <w:szCs w:val="20"/>
        </w:rPr>
        <w:t xml:space="preserve"> de materii prime de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nalt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calitate. Departamentul de Asigurare a Calit</w:t>
      </w:r>
      <w:r w:rsidR="004E21A3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ii efectueaz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evalu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 sus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inute ale produc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torilor noi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i, de asemenea, a celor existenti. Aspectele avute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vedere sunt at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 documenta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de calitate furnizat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ace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tia, care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necesar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scopul autoriz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rii, c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calitatea produselor furnizate, precum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comportamentul acestora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timpul procesului de productie.</w:t>
      </w:r>
    </w:p>
    <w:p w:rsidR="001C70E5" w:rsidRPr="00010A42" w:rsidRDefault="001C70E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C70E5" w:rsidRPr="00010A42" w:rsidRDefault="00E27346" w:rsidP="00E27346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11" w:name="_Toc12461580"/>
      <w:r w:rsidRPr="00010A42">
        <w:rPr>
          <w:rFonts w:cs="Arial"/>
          <w:color w:val="17406D" w:themeColor="text2"/>
          <w:szCs w:val="20"/>
        </w:rPr>
        <w:t xml:space="preserve">2.3.2. </w:t>
      </w:r>
      <w:r w:rsidR="001C70E5" w:rsidRPr="00010A42">
        <w:rPr>
          <w:rFonts w:cs="Arial"/>
          <w:color w:val="17406D" w:themeColor="text2"/>
          <w:szCs w:val="20"/>
        </w:rPr>
        <w:t>Portofoliul si piete de distributie</w:t>
      </w:r>
      <w:bookmarkEnd w:id="11"/>
    </w:p>
    <w:p w:rsidR="001C70E5" w:rsidRPr="00010A42" w:rsidRDefault="001C70E5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27346" w:rsidRPr="00010A42" w:rsidRDefault="00804494" w:rsidP="00AF1B8A">
      <w:pPr>
        <w:pStyle w:val="BodyText"/>
        <w:spacing w:after="0" w:line="240" w:lineRule="auto"/>
        <w:jc w:val="left"/>
        <w:rPr>
          <w:rFonts w:ascii="Arial" w:eastAsia="Benguiat Bk BT" w:hAnsi="Arial" w:cs="Arial"/>
          <w:bCs/>
          <w:sz w:val="20"/>
          <w:szCs w:val="20"/>
        </w:rPr>
      </w:pPr>
      <w:bookmarkStart w:id="12" w:name="_Toc320111027"/>
      <w:r w:rsidRPr="00010A42">
        <w:rPr>
          <w:rFonts w:ascii="Arial" w:hAnsi="Arial" w:cs="Arial"/>
          <w:bCs/>
          <w:sz w:val="20"/>
          <w:szCs w:val="20"/>
          <w:lang w:val="it-IT"/>
        </w:rPr>
        <w:t xml:space="preserve">Portofoliul de produse al Zentiva SA 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include 130 de produse de uz uman, in forme solide (comprimate, capsule, peleti) </w:t>
      </w:r>
      <w:r w:rsidR="001631A6" w:rsidRPr="00010A42">
        <w:rPr>
          <w:rFonts w:ascii="Arial" w:hAnsi="Arial" w:cs="Arial"/>
          <w:sz w:val="20"/>
          <w:szCs w:val="20"/>
          <w:lang w:val="it-IT"/>
        </w:rPr>
        <w:t>s</w:t>
      </w:r>
      <w:r w:rsidRPr="00010A42">
        <w:rPr>
          <w:rFonts w:ascii="Arial" w:hAnsi="Arial" w:cs="Arial"/>
          <w:sz w:val="20"/>
          <w:szCs w:val="20"/>
          <w:lang w:val="it-IT"/>
        </w:rPr>
        <w:t>i solutii injectabile</w:t>
      </w:r>
      <w:r w:rsidR="00E27346" w:rsidRPr="00010A42">
        <w:rPr>
          <w:rFonts w:ascii="Arial" w:hAnsi="Arial" w:cs="Arial"/>
          <w:sz w:val="20"/>
          <w:szCs w:val="20"/>
        </w:rPr>
        <w:t>:</w:t>
      </w:r>
    </w:p>
    <w:p w:rsidR="001C70E5" w:rsidRPr="00010A42" w:rsidRDefault="001C70E5" w:rsidP="00E27346">
      <w:pPr>
        <w:pStyle w:val="BodyText2"/>
        <w:numPr>
          <w:ilvl w:val="0"/>
          <w:numId w:val="23"/>
        </w:numPr>
        <w:spacing w:after="0" w:line="240" w:lineRule="auto"/>
        <w:ind w:left="426" w:hanging="284"/>
        <w:jc w:val="left"/>
        <w:rPr>
          <w:rFonts w:ascii="Arial" w:hAnsi="Arial" w:cs="Arial"/>
          <w:sz w:val="20"/>
          <w:szCs w:val="20"/>
          <w:lang w:val="it-IT"/>
        </w:rPr>
      </w:pPr>
      <w:r w:rsidRPr="00010A42">
        <w:rPr>
          <w:rFonts w:ascii="Arial" w:hAnsi="Arial" w:cs="Arial"/>
          <w:sz w:val="20"/>
          <w:szCs w:val="20"/>
          <w:lang w:val="it-IT"/>
        </w:rPr>
        <w:t>P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n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la 27 septembrie 2018, activitatea de distribu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ie pe pia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a local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a fost asigurat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de Sanofi Rom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nia SRL, distribuitorul exclusiv al grupului Sanofi pe pia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a din Rom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nia. Dup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ce Zentiva a ie</w:t>
      </w:r>
      <w:r w:rsidR="004E21A3" w:rsidRPr="00010A42">
        <w:rPr>
          <w:rFonts w:ascii="Arial" w:hAnsi="Arial" w:cs="Arial"/>
          <w:sz w:val="20"/>
          <w:szCs w:val="20"/>
          <w:lang w:val="it-IT"/>
        </w:rPr>
        <w:t>s</w:t>
      </w:r>
      <w:r w:rsidRPr="00010A42">
        <w:rPr>
          <w:rFonts w:ascii="Arial" w:hAnsi="Arial" w:cs="Arial"/>
          <w:sz w:val="20"/>
          <w:szCs w:val="20"/>
          <w:lang w:val="it-IT"/>
        </w:rPr>
        <w:t>it din grupul Sanofi, activitatea de distribu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ie pe pia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a local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a fost asigurat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de compan</w:t>
      </w:r>
      <w:r w:rsidR="00E27346" w:rsidRPr="00010A42">
        <w:rPr>
          <w:rFonts w:ascii="Arial" w:hAnsi="Arial" w:cs="Arial"/>
          <w:sz w:val="20"/>
          <w:szCs w:val="20"/>
          <w:lang w:val="it-IT"/>
        </w:rPr>
        <w:t>iile de distribu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="00E27346" w:rsidRPr="00010A42">
        <w:rPr>
          <w:rFonts w:ascii="Arial" w:hAnsi="Arial" w:cs="Arial"/>
          <w:sz w:val="20"/>
          <w:szCs w:val="20"/>
          <w:lang w:val="it-IT"/>
        </w:rPr>
        <w:t>ie din Rom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="00E27346" w:rsidRPr="00010A42">
        <w:rPr>
          <w:rFonts w:ascii="Arial" w:hAnsi="Arial" w:cs="Arial"/>
          <w:sz w:val="20"/>
          <w:szCs w:val="20"/>
          <w:lang w:val="it-IT"/>
        </w:rPr>
        <w:t>nia;</w:t>
      </w:r>
    </w:p>
    <w:p w:rsidR="001C70E5" w:rsidRPr="00010A42" w:rsidRDefault="001C70E5" w:rsidP="00E27346">
      <w:pPr>
        <w:pStyle w:val="BodyText2"/>
        <w:numPr>
          <w:ilvl w:val="0"/>
          <w:numId w:val="23"/>
        </w:numPr>
        <w:spacing w:after="0" w:line="240" w:lineRule="auto"/>
        <w:ind w:left="426" w:hanging="284"/>
        <w:jc w:val="left"/>
        <w:rPr>
          <w:rFonts w:ascii="Arial" w:hAnsi="Arial" w:cs="Arial"/>
          <w:sz w:val="20"/>
          <w:szCs w:val="20"/>
          <w:lang w:val="it-IT"/>
        </w:rPr>
      </w:pPr>
      <w:r w:rsidRPr="00010A42">
        <w:rPr>
          <w:rFonts w:ascii="Arial" w:hAnsi="Arial" w:cs="Arial"/>
          <w:sz w:val="20"/>
          <w:szCs w:val="20"/>
          <w:lang w:val="it-IT"/>
        </w:rPr>
        <w:t>Firma apar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ine Grupului Zentiva, care de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ine facilit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at</w:t>
      </w:r>
      <w:r w:rsidRPr="00010A42">
        <w:rPr>
          <w:rFonts w:ascii="Arial" w:hAnsi="Arial" w:cs="Arial"/>
          <w:sz w:val="20"/>
          <w:szCs w:val="20"/>
          <w:lang w:val="it-IT"/>
        </w:rPr>
        <w:t>i de produc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ie </w:t>
      </w:r>
      <w:r w:rsidR="004E21A3" w:rsidRPr="00010A42">
        <w:rPr>
          <w:rFonts w:ascii="Arial" w:hAnsi="Arial" w:cs="Arial"/>
          <w:sz w:val="20"/>
          <w:szCs w:val="20"/>
          <w:lang w:val="it-IT"/>
        </w:rPr>
        <w:t>i</w:t>
      </w:r>
      <w:r w:rsidRPr="00010A42">
        <w:rPr>
          <w:rFonts w:ascii="Arial" w:hAnsi="Arial" w:cs="Arial"/>
          <w:sz w:val="20"/>
          <w:szCs w:val="20"/>
          <w:lang w:val="it-IT"/>
        </w:rPr>
        <w:t>n Republica Ceh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</w:t>
      </w:r>
      <w:r w:rsidR="004E21A3" w:rsidRPr="00010A42">
        <w:rPr>
          <w:rFonts w:ascii="Arial" w:hAnsi="Arial" w:cs="Arial"/>
          <w:sz w:val="20"/>
          <w:szCs w:val="20"/>
          <w:lang w:val="it-IT"/>
        </w:rPr>
        <w:t>s</w:t>
      </w:r>
      <w:r w:rsidRPr="00010A42">
        <w:rPr>
          <w:rFonts w:ascii="Arial" w:hAnsi="Arial" w:cs="Arial"/>
          <w:sz w:val="20"/>
          <w:szCs w:val="20"/>
          <w:lang w:val="it-IT"/>
        </w:rPr>
        <w:t>i Rom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nia. V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nz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rile la export au fost asigurate de Sanofi Winthrop (part</w:t>
      </w:r>
      <w:r w:rsidR="00E27346" w:rsidRPr="00010A42">
        <w:rPr>
          <w:rFonts w:ascii="Arial" w:hAnsi="Arial" w:cs="Arial"/>
          <w:sz w:val="20"/>
          <w:szCs w:val="20"/>
          <w:lang w:val="it-IT"/>
        </w:rPr>
        <w:t>e a grupului Sanofi) p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="00E27346" w:rsidRPr="00010A42">
        <w:rPr>
          <w:rFonts w:ascii="Arial" w:hAnsi="Arial" w:cs="Arial"/>
          <w:sz w:val="20"/>
          <w:szCs w:val="20"/>
          <w:lang w:val="it-IT"/>
        </w:rPr>
        <w:t>n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="00E27346" w:rsidRPr="00010A42">
        <w:rPr>
          <w:rFonts w:ascii="Arial" w:hAnsi="Arial" w:cs="Arial"/>
          <w:sz w:val="20"/>
          <w:szCs w:val="20"/>
          <w:lang w:val="it-IT"/>
        </w:rPr>
        <w:t xml:space="preserve"> la 30 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septembrie 2018 </w:t>
      </w:r>
      <w:r w:rsidR="004E21A3" w:rsidRPr="00010A42">
        <w:rPr>
          <w:rFonts w:ascii="Arial" w:hAnsi="Arial" w:cs="Arial"/>
          <w:sz w:val="20"/>
          <w:szCs w:val="20"/>
          <w:lang w:val="it-IT"/>
        </w:rPr>
        <w:t>s</w:t>
      </w:r>
      <w:r w:rsidRPr="00010A42">
        <w:rPr>
          <w:rFonts w:ascii="Arial" w:hAnsi="Arial" w:cs="Arial"/>
          <w:sz w:val="20"/>
          <w:szCs w:val="20"/>
          <w:lang w:val="it-IT"/>
        </w:rPr>
        <w:t>i de c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="00F41D04" w:rsidRPr="00010A42">
        <w:rPr>
          <w:rFonts w:ascii="Arial" w:hAnsi="Arial" w:cs="Arial"/>
          <w:sz w:val="20"/>
          <w:szCs w:val="20"/>
          <w:lang w:val="it-IT"/>
        </w:rPr>
        <w:t>tre Zentiva ks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(parte a Grupului Zentiva) dup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1 octombrie 2018.</w:t>
      </w:r>
    </w:p>
    <w:p w:rsidR="00407B2E" w:rsidRPr="00010A42" w:rsidRDefault="00407B2E">
      <w:pPr>
        <w:rPr>
          <w:rFonts w:ascii="Arial" w:hAnsi="Arial" w:cs="Arial"/>
          <w:sz w:val="20"/>
          <w:szCs w:val="20"/>
          <w:lang w:val="it-IT"/>
        </w:rPr>
      </w:pPr>
      <w:r w:rsidRPr="00010A42">
        <w:rPr>
          <w:rFonts w:ascii="Arial" w:hAnsi="Arial" w:cs="Arial"/>
          <w:sz w:val="20"/>
          <w:szCs w:val="20"/>
          <w:lang w:val="it-IT"/>
        </w:rPr>
        <w:br w:type="page"/>
      </w:r>
    </w:p>
    <w:p w:rsidR="00407B2E" w:rsidRPr="00010A42" w:rsidRDefault="00407B2E" w:rsidP="00407B2E">
      <w:pPr>
        <w:pStyle w:val="Heading1"/>
        <w:numPr>
          <w:ilvl w:val="0"/>
          <w:numId w:val="25"/>
        </w:numPr>
        <w:spacing w:before="0" w:after="0"/>
        <w:rPr>
          <w:rFonts w:cs="Arial"/>
          <w:color w:val="17406D" w:themeColor="text2"/>
          <w:szCs w:val="20"/>
        </w:rPr>
      </w:pPr>
      <w:bookmarkStart w:id="13" w:name="_Toc12461581"/>
      <w:r w:rsidRPr="00010A42">
        <w:rPr>
          <w:rFonts w:cs="Arial"/>
          <w:color w:val="17406D" w:themeColor="text2"/>
          <w:szCs w:val="20"/>
        </w:rPr>
        <w:lastRenderedPageBreak/>
        <w:t>Activitatea companiei (continuare)</w:t>
      </w:r>
      <w:bookmarkEnd w:id="13"/>
    </w:p>
    <w:p w:rsidR="00E27346" w:rsidRPr="00010A42" w:rsidRDefault="00E27346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  <w:lang w:val="it-IT"/>
        </w:rPr>
      </w:pPr>
    </w:p>
    <w:p w:rsidR="00407B2E" w:rsidRPr="00010A42" w:rsidRDefault="001C70E5" w:rsidP="00BA7B03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  <w:lang w:val="it-IT"/>
        </w:rPr>
      </w:pPr>
      <w:r w:rsidRPr="00010A42">
        <w:rPr>
          <w:rFonts w:ascii="Arial" w:hAnsi="Arial" w:cs="Arial"/>
          <w:sz w:val="20"/>
          <w:szCs w:val="20"/>
          <w:lang w:val="it-IT"/>
        </w:rPr>
        <w:t>Pentru anul 2019</w:t>
      </w:r>
      <w:r w:rsidR="00C834FB" w:rsidRPr="00010A42">
        <w:rPr>
          <w:rFonts w:ascii="Arial" w:hAnsi="Arial" w:cs="Arial"/>
          <w:sz w:val="20"/>
          <w:szCs w:val="20"/>
          <w:lang w:val="it-IT"/>
        </w:rPr>
        <w:t>,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sunt prev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zute investi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ii </w:t>
      </w:r>
      <w:r w:rsidR="004E21A3" w:rsidRPr="00010A42">
        <w:rPr>
          <w:rFonts w:ascii="Arial" w:hAnsi="Arial" w:cs="Arial"/>
          <w:sz w:val="20"/>
          <w:szCs w:val="20"/>
          <w:lang w:val="it-IT"/>
        </w:rPr>
        <w:t>i</w:t>
      </w:r>
      <w:r w:rsidRPr="00010A42">
        <w:rPr>
          <w:rFonts w:ascii="Arial" w:hAnsi="Arial" w:cs="Arial"/>
          <w:sz w:val="20"/>
          <w:szCs w:val="20"/>
          <w:lang w:val="it-IT"/>
        </w:rPr>
        <w:t>n imobiliz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ri corporale, </w:t>
      </w:r>
      <w:r w:rsidR="004E21A3" w:rsidRPr="00010A42">
        <w:rPr>
          <w:rFonts w:ascii="Arial" w:hAnsi="Arial" w:cs="Arial"/>
          <w:sz w:val="20"/>
          <w:szCs w:val="20"/>
          <w:lang w:val="it-IT"/>
        </w:rPr>
        <w:t>i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n valoare de </w:t>
      </w:r>
      <w:r w:rsidR="00CE2E60">
        <w:rPr>
          <w:rFonts w:ascii="Arial" w:hAnsi="Arial" w:cs="Arial"/>
          <w:sz w:val="20"/>
          <w:szCs w:val="20"/>
          <w:lang w:val="it-IT"/>
        </w:rPr>
        <w:t>5.39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 milioane EUR, legate de cre</w:t>
      </w:r>
      <w:r w:rsidR="004E21A3" w:rsidRPr="00010A42">
        <w:rPr>
          <w:rFonts w:ascii="Arial" w:hAnsi="Arial" w:cs="Arial"/>
          <w:sz w:val="20"/>
          <w:szCs w:val="20"/>
          <w:lang w:val="it-IT"/>
        </w:rPr>
        <w:t>s</w:t>
      </w:r>
      <w:r w:rsidRPr="00010A42">
        <w:rPr>
          <w:rFonts w:ascii="Arial" w:hAnsi="Arial" w:cs="Arial"/>
          <w:sz w:val="20"/>
          <w:szCs w:val="20"/>
          <w:lang w:val="it-IT"/>
        </w:rPr>
        <w:t>terea capacit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at</w:t>
      </w:r>
      <w:r w:rsidRPr="00010A42">
        <w:rPr>
          <w:rFonts w:ascii="Arial" w:hAnsi="Arial" w:cs="Arial"/>
          <w:sz w:val="20"/>
          <w:szCs w:val="20"/>
          <w:lang w:val="it-IT"/>
        </w:rPr>
        <w:t>ii de produc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ie, modernizarea echipamentelor </w:t>
      </w:r>
      <w:r w:rsidR="004E21A3" w:rsidRPr="00010A42">
        <w:rPr>
          <w:rFonts w:ascii="Arial" w:hAnsi="Arial" w:cs="Arial"/>
          <w:sz w:val="20"/>
          <w:szCs w:val="20"/>
          <w:lang w:val="it-IT"/>
        </w:rPr>
        <w:t>s</w:t>
      </w:r>
      <w:r w:rsidRPr="00010A42">
        <w:rPr>
          <w:rFonts w:ascii="Arial" w:hAnsi="Arial" w:cs="Arial"/>
          <w:sz w:val="20"/>
          <w:szCs w:val="20"/>
          <w:lang w:val="it-IT"/>
        </w:rPr>
        <w:t>i a spa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iilor de produc</w:t>
      </w:r>
      <w:r w:rsidR="004E21A3" w:rsidRPr="00010A42">
        <w:rPr>
          <w:rFonts w:ascii="Arial" w:hAnsi="Arial" w:cs="Arial"/>
          <w:sz w:val="20"/>
          <w:szCs w:val="20"/>
          <w:lang w:val="it-IT"/>
        </w:rPr>
        <w:t>t</w:t>
      </w:r>
      <w:r w:rsidRPr="00010A42">
        <w:rPr>
          <w:rFonts w:ascii="Arial" w:hAnsi="Arial" w:cs="Arial"/>
          <w:sz w:val="20"/>
          <w:szCs w:val="20"/>
          <w:lang w:val="it-IT"/>
        </w:rPr>
        <w:t>ie, respectarea calit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at</w:t>
      </w:r>
      <w:r w:rsidRPr="00010A42">
        <w:rPr>
          <w:rFonts w:ascii="Arial" w:hAnsi="Arial" w:cs="Arial"/>
          <w:sz w:val="20"/>
          <w:szCs w:val="20"/>
          <w:lang w:val="it-IT"/>
        </w:rPr>
        <w:t xml:space="preserve">ii </w:t>
      </w:r>
      <w:r w:rsidR="004E21A3" w:rsidRPr="00010A42">
        <w:rPr>
          <w:rFonts w:ascii="Arial" w:hAnsi="Arial" w:cs="Arial"/>
          <w:sz w:val="20"/>
          <w:szCs w:val="20"/>
          <w:lang w:val="it-IT"/>
        </w:rPr>
        <w:t>s</w:t>
      </w:r>
      <w:r w:rsidRPr="00010A42">
        <w:rPr>
          <w:rFonts w:ascii="Arial" w:hAnsi="Arial" w:cs="Arial"/>
          <w:sz w:val="20"/>
          <w:szCs w:val="20"/>
          <w:lang w:val="it-IT"/>
        </w:rPr>
        <w:t>i respect</w:t>
      </w:r>
      <w:r w:rsidR="004E21A3" w:rsidRPr="00010A42">
        <w:rPr>
          <w:rFonts w:ascii="Arial" w:hAnsi="Arial" w:cs="Arial"/>
          <w:sz w:val="20"/>
          <w:szCs w:val="20"/>
          <w:lang w:val="it-IT"/>
        </w:rPr>
        <w:t>a</w:t>
      </w:r>
      <w:r w:rsidRPr="00010A42">
        <w:rPr>
          <w:rFonts w:ascii="Arial" w:hAnsi="Arial" w:cs="Arial"/>
          <w:sz w:val="20"/>
          <w:szCs w:val="20"/>
          <w:lang w:val="it-IT"/>
        </w:rPr>
        <w:t>rii mediului.</w:t>
      </w:r>
    </w:p>
    <w:p w:rsidR="00C834FB" w:rsidRPr="00010A42" w:rsidRDefault="00C834FB" w:rsidP="00BA7B03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  <w:lang w:val="it-IT"/>
        </w:rPr>
      </w:pPr>
    </w:p>
    <w:p w:rsidR="00C834FB" w:rsidRPr="00010A42" w:rsidRDefault="00C834FB" w:rsidP="00C83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676A" w:rsidRPr="00010A42" w:rsidRDefault="00B4676A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14" w:name="_Toc12461582"/>
      <w:r w:rsidRPr="00010A42">
        <w:rPr>
          <w:rFonts w:cs="Arial"/>
          <w:color w:val="17406D" w:themeColor="text2"/>
          <w:szCs w:val="20"/>
        </w:rPr>
        <w:t xml:space="preserve">2.4 </w:t>
      </w:r>
      <w:bookmarkEnd w:id="12"/>
      <w:r w:rsidR="00804494" w:rsidRPr="00010A42">
        <w:rPr>
          <w:rFonts w:cs="Arial"/>
          <w:color w:val="17406D" w:themeColor="text2"/>
          <w:szCs w:val="20"/>
        </w:rPr>
        <w:t>Objective</w:t>
      </w:r>
      <w:r w:rsidRPr="00010A42">
        <w:rPr>
          <w:rFonts w:cs="Arial"/>
          <w:color w:val="17406D" w:themeColor="text2"/>
          <w:szCs w:val="20"/>
        </w:rPr>
        <w:t xml:space="preserve"> </w:t>
      </w:r>
      <w:r w:rsidR="00804494" w:rsidRPr="00010A42">
        <w:rPr>
          <w:rFonts w:cs="Arial"/>
          <w:color w:val="17406D" w:themeColor="text2"/>
          <w:szCs w:val="20"/>
        </w:rPr>
        <w:t>pentru anul</w:t>
      </w:r>
      <w:r w:rsidRPr="00010A42">
        <w:rPr>
          <w:rFonts w:cs="Arial"/>
          <w:color w:val="17406D" w:themeColor="text2"/>
          <w:szCs w:val="20"/>
        </w:rPr>
        <w:t xml:space="preserve"> 2018</w:t>
      </w:r>
      <w:bookmarkEnd w:id="14"/>
    </w:p>
    <w:p w:rsidR="00B4676A" w:rsidRPr="00010A42" w:rsidRDefault="00B4676A" w:rsidP="00AF1B8A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ja-JP"/>
        </w:rPr>
      </w:pPr>
    </w:p>
    <w:p w:rsidR="001C70E5" w:rsidRPr="00010A42" w:rsidRDefault="001C70E5" w:rsidP="00C834F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Pentru anul 2019, obiectivul este acela de a ne men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ine pozi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ia de lider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i</w:t>
      </w:r>
      <w:r w:rsidRPr="00010A42">
        <w:rPr>
          <w:rFonts w:ascii="Arial" w:hAnsi="Arial" w:cs="Arial"/>
          <w:sz w:val="20"/>
          <w:szCs w:val="20"/>
          <w:lang w:val="ro-RO"/>
        </w:rPr>
        <w:t>n sanatate, concentr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ndu-ne pe</w:t>
      </w:r>
      <w:r w:rsidR="004D1A92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sz w:val="20"/>
          <w:szCs w:val="20"/>
          <w:lang w:val="ro-RO"/>
        </w:rPr>
        <w:t>identificarea oportunit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at</w:t>
      </w:r>
      <w:r w:rsidRPr="00010A42">
        <w:rPr>
          <w:rFonts w:ascii="Arial" w:hAnsi="Arial" w:cs="Arial"/>
          <w:sz w:val="20"/>
          <w:szCs w:val="20"/>
          <w:lang w:val="ro-RO"/>
        </w:rPr>
        <w:t>ilor de cre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tere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i pe diversificarea afacerii noastre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i</w:t>
      </w:r>
      <w:r w:rsidRPr="00010A42">
        <w:rPr>
          <w:rFonts w:ascii="Arial" w:hAnsi="Arial" w:cs="Arial"/>
          <w:sz w:val="20"/>
          <w:szCs w:val="20"/>
          <w:lang w:val="ro-RO"/>
        </w:rPr>
        <w:t>n cadrul standardelor</w:t>
      </w:r>
      <w:r w:rsidR="00C834FB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sz w:val="20"/>
          <w:szCs w:val="20"/>
          <w:lang w:val="ro-RO"/>
        </w:rPr>
        <w:t>europene de calitate; pentru a ne asigura o organizare eficient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i profitabil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, r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m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nd pe deplin</w:t>
      </w:r>
      <w:r w:rsidR="00C834FB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sz w:val="20"/>
          <w:szCs w:val="20"/>
          <w:lang w:val="ro-RO"/>
        </w:rPr>
        <w:t>angaja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 s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oferim clien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ilor no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tri cele mai bune servicii posibile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i s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ne men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inem angajamentele fa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de</w:t>
      </w:r>
      <w:r w:rsidR="00C834FB" w:rsidRPr="00010A42">
        <w:rPr>
          <w:rFonts w:ascii="Arial" w:hAnsi="Arial" w:cs="Arial"/>
          <w:sz w:val="20"/>
          <w:szCs w:val="20"/>
          <w:lang w:val="ro-RO"/>
        </w:rPr>
        <w:t xml:space="preserve"> </w:t>
      </w:r>
      <w:r w:rsidRPr="00010A42">
        <w:rPr>
          <w:rFonts w:ascii="Arial" w:hAnsi="Arial" w:cs="Arial"/>
          <w:sz w:val="20"/>
          <w:szCs w:val="20"/>
          <w:lang w:val="ro-RO"/>
        </w:rPr>
        <w:t>nevoile pacien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ilor rom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ni.</w:t>
      </w:r>
    </w:p>
    <w:p w:rsidR="001C70E5" w:rsidRPr="00010A42" w:rsidRDefault="001C70E5" w:rsidP="00AF1B8A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ro-RO"/>
        </w:rPr>
      </w:pPr>
    </w:p>
    <w:p w:rsidR="001C70E5" w:rsidRPr="00010A42" w:rsidRDefault="001C70E5" w:rsidP="00AF1B8A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Principalele noastre priorit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at</w:t>
      </w:r>
      <w:r w:rsidRPr="00010A42">
        <w:rPr>
          <w:rFonts w:ascii="Arial" w:hAnsi="Arial" w:cs="Arial"/>
          <w:sz w:val="20"/>
          <w:szCs w:val="20"/>
          <w:lang w:val="ro-RO"/>
        </w:rPr>
        <w:t>i pentru anul 2019 sunt:</w:t>
      </w:r>
    </w:p>
    <w:p w:rsidR="001C70E5" w:rsidRPr="00010A42" w:rsidRDefault="001C70E5" w:rsidP="00167255">
      <w:pPr>
        <w:pStyle w:val="ListParagraph"/>
        <w:numPr>
          <w:ilvl w:val="0"/>
          <w:numId w:val="28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Pentru a men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ine profitabilitatea produc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torului local, av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nd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i</w:t>
      </w:r>
      <w:r w:rsidRPr="00010A42">
        <w:rPr>
          <w:rFonts w:ascii="Arial" w:hAnsi="Arial" w:cs="Arial"/>
          <w:sz w:val="20"/>
          <w:szCs w:val="20"/>
          <w:lang w:val="ro-RO"/>
        </w:rPr>
        <w:t>n vedere cre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terea costurilor pentru utilit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at</w:t>
      </w:r>
      <w:r w:rsidRPr="00010A42">
        <w:rPr>
          <w:rFonts w:ascii="Arial" w:hAnsi="Arial" w:cs="Arial"/>
          <w:sz w:val="20"/>
          <w:szCs w:val="20"/>
          <w:lang w:val="ro-RO"/>
        </w:rPr>
        <w:t>i, cre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terea constant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a costurilor materialelor (materii prime, excipien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i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i materiale de ambalare)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="00167255" w:rsidRPr="00010A42">
        <w:rPr>
          <w:rFonts w:ascii="Arial" w:hAnsi="Arial" w:cs="Arial"/>
          <w:sz w:val="20"/>
          <w:szCs w:val="20"/>
          <w:lang w:val="ro-RO"/>
        </w:rPr>
        <w:t>i cre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="00167255" w:rsidRPr="00010A42">
        <w:rPr>
          <w:rFonts w:ascii="Arial" w:hAnsi="Arial" w:cs="Arial"/>
          <w:sz w:val="20"/>
          <w:szCs w:val="20"/>
          <w:lang w:val="ro-RO"/>
        </w:rPr>
        <w:t>terea taxei de recuperare;</w:t>
      </w:r>
    </w:p>
    <w:p w:rsidR="001C70E5" w:rsidRPr="00010A42" w:rsidRDefault="001C70E5" w:rsidP="00167255">
      <w:pPr>
        <w:pStyle w:val="ListParagraph"/>
        <w:numPr>
          <w:ilvl w:val="0"/>
          <w:numId w:val="28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Cre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terea capacit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at</w:t>
      </w:r>
      <w:r w:rsidRPr="00010A42">
        <w:rPr>
          <w:rFonts w:ascii="Arial" w:hAnsi="Arial" w:cs="Arial"/>
          <w:sz w:val="20"/>
          <w:szCs w:val="20"/>
          <w:lang w:val="ro-RO"/>
        </w:rPr>
        <w:t>ii de produc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ie prin implementarea planului de investi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ii pentru anul 2019;</w:t>
      </w:r>
    </w:p>
    <w:p w:rsidR="001C70E5" w:rsidRPr="00010A42" w:rsidRDefault="001C70E5" w:rsidP="00167255">
      <w:pPr>
        <w:pStyle w:val="ListParagraph"/>
        <w:numPr>
          <w:ilvl w:val="0"/>
          <w:numId w:val="28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S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diversifice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i s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consolideze prezen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a Zentiva pe diverse pie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e prin exporturi </w:t>
      </w:r>
      <w:r w:rsidR="004E21A3" w:rsidRPr="00010A42">
        <w:rPr>
          <w:rFonts w:ascii="Arial" w:hAnsi="Arial" w:cs="Arial"/>
          <w:sz w:val="20"/>
          <w:szCs w:val="20"/>
          <w:lang w:val="ro-RO"/>
        </w:rPr>
        <w:t>s</w:t>
      </w:r>
      <w:r w:rsidRPr="00010A42">
        <w:rPr>
          <w:rFonts w:ascii="Arial" w:hAnsi="Arial" w:cs="Arial"/>
          <w:sz w:val="20"/>
          <w:szCs w:val="20"/>
          <w:lang w:val="ro-RO"/>
        </w:rPr>
        <w:t>i transferuri de produse noi care ar trebui s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 xml:space="preserve"> fie produse local;</w:t>
      </w:r>
    </w:p>
    <w:p w:rsidR="001C70E5" w:rsidRPr="00010A42" w:rsidRDefault="001C70E5" w:rsidP="00167255">
      <w:pPr>
        <w:pStyle w:val="ListParagraph"/>
        <w:numPr>
          <w:ilvl w:val="0"/>
          <w:numId w:val="28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ro-RO"/>
        </w:rPr>
      </w:pPr>
      <w:r w:rsidRPr="00010A42">
        <w:rPr>
          <w:rFonts w:ascii="Arial" w:hAnsi="Arial" w:cs="Arial"/>
          <w:sz w:val="20"/>
          <w:szCs w:val="20"/>
          <w:lang w:val="ro-RO"/>
        </w:rPr>
        <w:t>Men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inerea v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nz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rilor de produse pe pia</w:t>
      </w:r>
      <w:r w:rsidR="004E21A3" w:rsidRPr="00010A42">
        <w:rPr>
          <w:rFonts w:ascii="Arial" w:hAnsi="Arial" w:cs="Arial"/>
          <w:sz w:val="20"/>
          <w:szCs w:val="20"/>
          <w:lang w:val="ro-RO"/>
        </w:rPr>
        <w:t>t</w:t>
      </w:r>
      <w:r w:rsidRPr="00010A42">
        <w:rPr>
          <w:rFonts w:ascii="Arial" w:hAnsi="Arial" w:cs="Arial"/>
          <w:sz w:val="20"/>
          <w:szCs w:val="20"/>
          <w:lang w:val="ro-RO"/>
        </w:rPr>
        <w:t>a local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;</w:t>
      </w:r>
    </w:p>
    <w:p w:rsidR="00110299" w:rsidRPr="00010A42" w:rsidRDefault="001C70E5" w:rsidP="00167255">
      <w:pPr>
        <w:pStyle w:val="ListParagraph"/>
        <w:numPr>
          <w:ilvl w:val="0"/>
          <w:numId w:val="28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  <w:lang w:val="ro-RO"/>
        </w:rPr>
        <w:t>Consolidarea portofoliului de produse prin lans</w:t>
      </w:r>
      <w:r w:rsidR="004E21A3" w:rsidRPr="00010A42">
        <w:rPr>
          <w:rFonts w:ascii="Arial" w:hAnsi="Arial" w:cs="Arial"/>
          <w:sz w:val="20"/>
          <w:szCs w:val="20"/>
          <w:lang w:val="ro-RO"/>
        </w:rPr>
        <w:t>a</w:t>
      </w:r>
      <w:r w:rsidRPr="00010A42">
        <w:rPr>
          <w:rFonts w:ascii="Arial" w:hAnsi="Arial" w:cs="Arial"/>
          <w:sz w:val="20"/>
          <w:szCs w:val="20"/>
          <w:lang w:val="ro-RO"/>
        </w:rPr>
        <w:t>ri noi.</w:t>
      </w:r>
      <w:sdt>
        <w:sdtPr>
          <w:id w:val="-60253652"/>
          <w:docPartObj>
            <w:docPartGallery w:val="Cover Pages"/>
            <w:docPartUnique/>
          </w:docPartObj>
        </w:sdtPr>
        <w:sdtEndPr/>
        <w:sdtContent/>
      </w:sdt>
    </w:p>
    <w:p w:rsidR="001C70E5" w:rsidRPr="00010A42" w:rsidRDefault="001C70E5" w:rsidP="00167255">
      <w:pPr>
        <w:pStyle w:val="Heading1"/>
        <w:spacing w:before="0" w:after="0"/>
        <w:rPr>
          <w:rFonts w:cs="Arial"/>
          <w:color w:val="17406D" w:themeColor="text2"/>
          <w:szCs w:val="20"/>
        </w:rPr>
      </w:pPr>
    </w:p>
    <w:p w:rsidR="00167255" w:rsidRPr="00010A42" w:rsidRDefault="00167255" w:rsidP="00167255">
      <w:pPr>
        <w:pStyle w:val="Heading1"/>
        <w:spacing w:before="0" w:after="0"/>
        <w:rPr>
          <w:rFonts w:cs="Arial"/>
          <w:color w:val="17406D" w:themeColor="text2"/>
          <w:szCs w:val="20"/>
        </w:rPr>
      </w:pPr>
    </w:p>
    <w:p w:rsidR="00167255" w:rsidRPr="00010A42" w:rsidRDefault="00167255" w:rsidP="00167255">
      <w:pPr>
        <w:pStyle w:val="Heading1"/>
        <w:spacing w:before="0" w:after="0"/>
        <w:rPr>
          <w:rFonts w:cs="Arial"/>
          <w:color w:val="17406D" w:themeColor="text2"/>
          <w:szCs w:val="20"/>
        </w:rPr>
      </w:pPr>
    </w:p>
    <w:p w:rsidR="00110299" w:rsidRPr="00010A42" w:rsidRDefault="00110299" w:rsidP="00E27346">
      <w:pPr>
        <w:pStyle w:val="Heading1"/>
        <w:numPr>
          <w:ilvl w:val="0"/>
          <w:numId w:val="18"/>
        </w:numPr>
        <w:spacing w:before="0" w:after="0"/>
        <w:rPr>
          <w:rFonts w:cs="Arial"/>
          <w:color w:val="17406D" w:themeColor="text2"/>
          <w:szCs w:val="20"/>
        </w:rPr>
      </w:pPr>
      <w:bookmarkStart w:id="15" w:name="_Toc12461583"/>
      <w:r w:rsidRPr="00010A42">
        <w:rPr>
          <w:rFonts w:cs="Arial"/>
          <w:color w:val="17406D" w:themeColor="text2"/>
          <w:szCs w:val="20"/>
        </w:rPr>
        <w:t>Etic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 xml:space="preserve">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 xml:space="preserve">i integritatea </w:t>
      </w:r>
      <w:r w:rsidR="001631A6" w:rsidRPr="00010A42">
        <w:rPr>
          <w:rFonts w:cs="Arial"/>
          <w:color w:val="17406D" w:themeColor="text2"/>
          <w:szCs w:val="20"/>
        </w:rPr>
        <w:t>i</w:t>
      </w:r>
      <w:r w:rsidRPr="00010A42">
        <w:rPr>
          <w:rFonts w:cs="Arial"/>
          <w:color w:val="17406D" w:themeColor="text2"/>
          <w:szCs w:val="20"/>
        </w:rPr>
        <w:t>n afaceri</w:t>
      </w:r>
      <w:bookmarkEnd w:id="15"/>
    </w:p>
    <w:p w:rsidR="001631A6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 xml:space="preserve">n calitate de partener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l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toria pentru 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tate, angajamentul nostru de a ac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iona cu integritate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este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esen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ial pentru a asigura confiden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ialitatea persoanelor pe care le trat</w:t>
      </w:r>
      <w:r w:rsidRPr="00010A42">
        <w:rPr>
          <w:rFonts w:ascii="Arial" w:hAnsi="Arial" w:cs="Arial"/>
          <w:sz w:val="20"/>
          <w:szCs w:val="20"/>
        </w:rPr>
        <w:t>a</w:t>
      </w:r>
      <w:r w:rsidR="00167255" w:rsidRPr="00010A42">
        <w:rPr>
          <w:rFonts w:ascii="Arial" w:hAnsi="Arial" w:cs="Arial"/>
          <w:sz w:val="20"/>
          <w:szCs w:val="20"/>
        </w:rPr>
        <w:t>m.</w:t>
      </w:r>
    </w:p>
    <w:p w:rsidR="00167255" w:rsidRPr="00010A42" w:rsidRDefault="0016725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acest mediu complex, suntem hot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r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 xml:space="preserve">i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respect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m principiile etice care ne guverneaz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activit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 xml:space="preserve">ile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ne angaj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m 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respect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m legile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reglement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rile aplicabile din fiecare 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ar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care ne desf</w:t>
      </w:r>
      <w:r w:rsidRPr="00010A42">
        <w:rPr>
          <w:rFonts w:ascii="Arial" w:hAnsi="Arial" w:cs="Arial"/>
          <w:sz w:val="20"/>
          <w:szCs w:val="20"/>
        </w:rPr>
        <w:t>as</w:t>
      </w:r>
      <w:r w:rsidR="00110299" w:rsidRPr="00010A42">
        <w:rPr>
          <w:rFonts w:ascii="Arial" w:hAnsi="Arial" w:cs="Arial"/>
          <w:sz w:val="20"/>
          <w:szCs w:val="20"/>
        </w:rPr>
        <w:t>ur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m activitatea. Este important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avem rezultate, dar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"cum" le ob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inem este la fel de important.</w:t>
      </w:r>
    </w:p>
    <w:p w:rsidR="00167255" w:rsidRPr="00010A42" w:rsidRDefault="0016725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Ne aliniem principiilor Declara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iei Universale a Drepturilor Omului, Organiza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iei Interna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ionale a Muncii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Organiza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iei pentru Cooperare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Dezvoltare Economic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(OCDE). De asemenea, sus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inem dreptul fiec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rei persoane la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tate, astfel cum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definit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interna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privind drepturile economice, sociale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="004D1A92" w:rsidRPr="00010A42">
        <w:rPr>
          <w:rFonts w:ascii="Arial" w:hAnsi="Arial" w:cs="Arial"/>
          <w:sz w:val="20"/>
          <w:szCs w:val="20"/>
        </w:rPr>
        <w:t>i culturale.S</w:t>
      </w:r>
      <w:r w:rsidRPr="00010A42">
        <w:rPr>
          <w:rFonts w:ascii="Arial" w:hAnsi="Arial" w:cs="Arial"/>
          <w:sz w:val="20"/>
          <w:szCs w:val="20"/>
        </w:rPr>
        <w:t>us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inem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aplic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 principii esen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iale privind drepturile omului, munca, mediul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combaterea corup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iei.</w:t>
      </w:r>
    </w:p>
    <w:p w:rsidR="003C29F1" w:rsidRPr="00010A42" w:rsidRDefault="003C29F1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29F1" w:rsidRPr="00010A42" w:rsidRDefault="003C29F1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In prezent, mai mult ca niciodata, pentru succesul si competitivitatea companiei noastre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esential sa consolidam increderea oamenilor. In acest sens, in 2018, Zentiva a implementat programe de instruire pentru angajatii sai in domeniul eticii de afaceri</w:t>
      </w:r>
    </w:p>
    <w:p w:rsidR="003C29F1" w:rsidRPr="00010A42" w:rsidRDefault="003C29F1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B2E" w:rsidRPr="00010A42" w:rsidRDefault="00407B2E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230D0C" w:rsidRPr="00010A42" w:rsidRDefault="00230D0C" w:rsidP="00230D0C">
      <w:pPr>
        <w:pStyle w:val="Heading1"/>
        <w:numPr>
          <w:ilvl w:val="0"/>
          <w:numId w:val="31"/>
        </w:numPr>
        <w:spacing w:before="0" w:after="0"/>
        <w:rPr>
          <w:rFonts w:cs="Arial"/>
          <w:color w:val="17406D" w:themeColor="text2"/>
          <w:szCs w:val="20"/>
        </w:rPr>
      </w:pPr>
      <w:bookmarkStart w:id="16" w:name="_Toc12461584"/>
      <w:r w:rsidRPr="00010A42">
        <w:rPr>
          <w:rFonts w:cs="Arial"/>
          <w:color w:val="17406D" w:themeColor="text2"/>
          <w:szCs w:val="20"/>
        </w:rPr>
        <w:lastRenderedPageBreak/>
        <w:t>Etica si integritatea in afaceri (continuare)</w:t>
      </w:r>
      <w:bookmarkEnd w:id="16"/>
    </w:p>
    <w:p w:rsidR="00BA7B03" w:rsidRPr="00010A42" w:rsidRDefault="00230D0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69129" wp14:editId="485B8D76">
                <wp:simplePos x="0" y="0"/>
                <wp:positionH relativeFrom="column">
                  <wp:posOffset>213360</wp:posOffset>
                </wp:positionH>
                <wp:positionV relativeFrom="paragraph">
                  <wp:posOffset>136525</wp:posOffset>
                </wp:positionV>
                <wp:extent cx="1056640" cy="2794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60" w:rsidRPr="00BB1AF1" w:rsidRDefault="00CE2E60" w:rsidP="00230D0C">
                            <w:pPr>
                              <w:rPr>
                                <w:b/>
                              </w:rPr>
                            </w:pPr>
                            <w:r w:rsidRPr="00BB1AF1">
                              <w:rPr>
                                <w:b/>
                              </w:rPr>
                              <w:t>Codul de etic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9129" id="Text Box 8" o:spid="_x0000_s1029" type="#_x0000_t202" style="position:absolute;margin-left:16.8pt;margin-top:10.75pt;width:83.2pt;height:2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5ejQIAAJE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" fillcolor="white [3201]" stroked="f" strokeweight=".5pt">
                <v:textbox>
                  <w:txbxContent>
                    <w:p w:rsidR="00CE2E60" w:rsidRPr="00BB1AF1" w:rsidRDefault="00CE2E60" w:rsidP="00230D0C">
                      <w:pPr>
                        <w:rPr>
                          <w:b/>
                        </w:rPr>
                      </w:pPr>
                      <w:r w:rsidRPr="00BB1AF1">
                        <w:rPr>
                          <w:b/>
                        </w:rPr>
                        <w:t>Codul de etic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C29F1" w:rsidRPr="00010A42" w:rsidRDefault="00230D0C" w:rsidP="003C29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79652DE" wp14:editId="300D3EC8">
            <wp:simplePos x="0" y="0"/>
            <wp:positionH relativeFrom="column">
              <wp:posOffset>-52705</wp:posOffset>
            </wp:positionH>
            <wp:positionV relativeFrom="paragraph">
              <wp:posOffset>37465</wp:posOffset>
            </wp:positionV>
            <wp:extent cx="1616075" cy="2194560"/>
            <wp:effectExtent l="0" t="0" r="3175" b="0"/>
            <wp:wrapTight wrapText="bothSides">
              <wp:wrapPolygon edited="0">
                <wp:start x="1018" y="0"/>
                <wp:lineTo x="255" y="375"/>
                <wp:lineTo x="0" y="1500"/>
                <wp:lineTo x="0" y="20063"/>
                <wp:lineTo x="509" y="21188"/>
                <wp:lineTo x="1018" y="21375"/>
                <wp:lineTo x="20369" y="21375"/>
                <wp:lineTo x="20879" y="21188"/>
                <wp:lineTo x="21388" y="20063"/>
                <wp:lineTo x="21388" y="1500"/>
                <wp:lineTo x="21133" y="375"/>
                <wp:lineTo x="20369" y="0"/>
                <wp:lineTo x="1018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F1" w:rsidRPr="00010A42">
        <w:rPr>
          <w:rFonts w:ascii="Arial" w:hAnsi="Arial" w:cs="Arial"/>
          <w:sz w:val="20"/>
          <w:szCs w:val="20"/>
        </w:rPr>
        <w:t xml:space="preserve">Ca parte a programului de instruire, </w:t>
      </w:r>
      <w:proofErr w:type="gramStart"/>
      <w:r w:rsidR="003C29F1" w:rsidRPr="00010A42">
        <w:rPr>
          <w:rFonts w:ascii="Arial" w:hAnsi="Arial" w:cs="Arial"/>
          <w:sz w:val="20"/>
          <w:szCs w:val="20"/>
        </w:rPr>
        <w:t>un</w:t>
      </w:r>
      <w:proofErr w:type="gramEnd"/>
      <w:r w:rsidR="003C29F1" w:rsidRPr="00010A42">
        <w:rPr>
          <w:rFonts w:ascii="Arial" w:hAnsi="Arial" w:cs="Arial"/>
          <w:sz w:val="20"/>
          <w:szCs w:val="20"/>
        </w:rPr>
        <w:t xml:space="preserve"> training privind combaterea mituirii și corupției a fost completat anual de către toți angajații, fie online, fie în traininguri față în față. </w:t>
      </w:r>
    </w:p>
    <w:p w:rsidR="003C29F1" w:rsidRPr="00010A42" w:rsidRDefault="003C29F1" w:rsidP="003C2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29F1" w:rsidRPr="00010A42" w:rsidRDefault="003C29F1" w:rsidP="003C29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Toți angajații echipei comerciale au fost instruiți cu privire la identificarea conflictelor de interese și a protecției datelor cu caracter personal.</w:t>
      </w:r>
    </w:p>
    <w:p w:rsidR="00BA7B03" w:rsidRPr="00010A42" w:rsidRDefault="00BA7B0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1543" w:rsidRPr="00010A42" w:rsidRDefault="004E21A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2A1543" w:rsidRPr="00010A42">
        <w:rPr>
          <w:rFonts w:ascii="Arial" w:hAnsi="Arial" w:cs="Arial"/>
          <w:sz w:val="20"/>
          <w:szCs w:val="20"/>
        </w:rPr>
        <w:t>ncep</w:t>
      </w:r>
      <w:r w:rsidRPr="00010A42">
        <w:rPr>
          <w:rFonts w:ascii="Arial" w:hAnsi="Arial" w:cs="Arial"/>
          <w:sz w:val="20"/>
          <w:szCs w:val="20"/>
        </w:rPr>
        <w:t>a</w:t>
      </w:r>
      <w:r w:rsidR="002A1543" w:rsidRPr="00010A42">
        <w:rPr>
          <w:rFonts w:ascii="Arial" w:hAnsi="Arial" w:cs="Arial"/>
          <w:sz w:val="20"/>
          <w:szCs w:val="20"/>
        </w:rPr>
        <w:t>nd cu noiembrie 2018, Zentiva a implementat un nou Cod Etic, numit "Codul Bunului Simt", bazat pe cele cinci principii de afaceri ale Zentiva:</w:t>
      </w:r>
    </w:p>
    <w:p w:rsidR="00BA7B03" w:rsidRPr="00010A42" w:rsidRDefault="00BA7B0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1543" w:rsidRPr="00010A42" w:rsidRDefault="002A1543" w:rsidP="0023453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Concentrare pe pacient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responsabilitatea produsului</w:t>
      </w:r>
      <w:r w:rsidR="0023453B" w:rsidRPr="00010A42">
        <w:rPr>
          <w:rFonts w:ascii="Arial" w:hAnsi="Arial" w:cs="Arial"/>
          <w:sz w:val="20"/>
          <w:szCs w:val="20"/>
        </w:rPr>
        <w:t>;</w:t>
      </w:r>
    </w:p>
    <w:p w:rsidR="002A1543" w:rsidRPr="00010A42" w:rsidRDefault="002A1543" w:rsidP="0023453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Tratati pe to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cu respect</w:t>
      </w:r>
      <w:r w:rsidR="0023453B" w:rsidRPr="00010A42">
        <w:rPr>
          <w:rFonts w:ascii="Arial" w:hAnsi="Arial" w:cs="Arial"/>
          <w:sz w:val="20"/>
          <w:szCs w:val="20"/>
        </w:rPr>
        <w:t>;</w:t>
      </w:r>
    </w:p>
    <w:p w:rsidR="002A1543" w:rsidRPr="00010A42" w:rsidRDefault="002A1543" w:rsidP="0023453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Afacerea transparent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corect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="0023453B" w:rsidRPr="00010A42">
        <w:rPr>
          <w:rFonts w:ascii="Arial" w:hAnsi="Arial" w:cs="Arial"/>
          <w:sz w:val="20"/>
          <w:szCs w:val="20"/>
        </w:rPr>
        <w:t>;</w:t>
      </w:r>
    </w:p>
    <w:p w:rsidR="002A1543" w:rsidRPr="00010A42" w:rsidRDefault="002A1543" w:rsidP="0023453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Protec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companiei</w:t>
      </w:r>
      <w:r w:rsidR="0023453B" w:rsidRPr="00010A42">
        <w:rPr>
          <w:rFonts w:ascii="Arial" w:hAnsi="Arial" w:cs="Arial"/>
          <w:sz w:val="20"/>
          <w:szCs w:val="20"/>
        </w:rPr>
        <w:t>;</w:t>
      </w:r>
    </w:p>
    <w:p w:rsidR="002A1543" w:rsidRPr="00010A42" w:rsidRDefault="002A1543" w:rsidP="0023453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Curajul de a vorbi</w:t>
      </w:r>
      <w:r w:rsidR="0023453B" w:rsidRPr="00010A42">
        <w:rPr>
          <w:rFonts w:ascii="Arial" w:hAnsi="Arial" w:cs="Arial"/>
          <w:sz w:val="20"/>
          <w:szCs w:val="20"/>
        </w:rPr>
        <w:t>.</w:t>
      </w:r>
    </w:p>
    <w:p w:rsidR="00230D0C" w:rsidRPr="00010A42" w:rsidRDefault="00230D0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1543" w:rsidRPr="00010A42" w:rsidRDefault="002A154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Angaja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no</w:t>
      </w:r>
      <w:bookmarkStart w:id="17" w:name="_GoBack"/>
      <w:bookmarkEnd w:id="17"/>
      <w:r w:rsidRPr="00010A42">
        <w:rPr>
          <w:rFonts w:ascii="Arial" w:hAnsi="Arial" w:cs="Arial"/>
          <w:sz w:val="20"/>
          <w:szCs w:val="20"/>
        </w:rPr>
        <w:t>i sunt instrui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ceea ce prive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te Codul etic, principiile de afaceri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regulile privind combaterea corup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iei, conflictele de interese, informa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iile privilegiate, confiden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ialitatea, datele personale etc.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53B" w:rsidRPr="00010A42" w:rsidRDefault="002A154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De asemenea,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timpul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lnirilor echipei de v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nz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 organizate de dou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ori pe an, exist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cursuri de instruire pe subiectele men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ionate mai sus</w:t>
      </w:r>
      <w:r w:rsidR="0023453B" w:rsidRPr="00010A42">
        <w:rPr>
          <w:rFonts w:ascii="Arial" w:hAnsi="Arial" w:cs="Arial"/>
          <w:sz w:val="20"/>
          <w:szCs w:val="20"/>
        </w:rPr>
        <w:t>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C4" w:rsidRPr="00010A42" w:rsidRDefault="00AF6DC4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nou curs on-line pentru c</w:t>
      </w:r>
      <w:r w:rsidR="002F4011" w:rsidRPr="00010A42">
        <w:rPr>
          <w:rFonts w:ascii="Arial" w:hAnsi="Arial" w:cs="Arial"/>
          <w:sz w:val="20"/>
          <w:szCs w:val="20"/>
        </w:rPr>
        <w:t>odul de etică va fi implementat</w:t>
      </w:r>
      <w:r w:rsidRPr="00010A42">
        <w:rPr>
          <w:rFonts w:ascii="Arial" w:hAnsi="Arial" w:cs="Arial"/>
          <w:sz w:val="20"/>
          <w:szCs w:val="20"/>
        </w:rPr>
        <w:t xml:space="preserve"> în 2019.</w:t>
      </w:r>
    </w:p>
    <w:p w:rsidR="00DF6695" w:rsidRPr="00010A42" w:rsidRDefault="00DF669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79E0" w:rsidRPr="00010A42" w:rsidRDefault="009079E0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18" w:name="_Toc12461585"/>
      <w:r w:rsidRPr="00010A42">
        <w:rPr>
          <w:rFonts w:cs="Arial"/>
          <w:color w:val="17406D" w:themeColor="text2"/>
          <w:szCs w:val="20"/>
        </w:rPr>
        <w:t>3.1 Etica medical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 xml:space="preserve">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i transparen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a datelor medicale</w:t>
      </w:r>
      <w:bookmarkEnd w:id="18"/>
    </w:p>
    <w:p w:rsidR="001631A6" w:rsidRPr="00010A42" w:rsidRDefault="001631A6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fiecare zi, lucr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m al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turi de profesioni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ti din domeniul 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>ii pentru a sprijini utilizarea adecvat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a produselor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i serviciilor noastre medicale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i pentru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a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ob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ine un feedba</w:t>
      </w:r>
      <w:r w:rsidR="0023453B" w:rsidRPr="00010A42">
        <w:rPr>
          <w:rFonts w:ascii="Arial" w:hAnsi="Arial" w:cs="Arial"/>
          <w:sz w:val="20"/>
          <w:szCs w:val="20"/>
        </w:rPr>
        <w:t>ck valoros din partea acestora.</w:t>
      </w:r>
    </w:p>
    <w:p w:rsidR="0023453B" w:rsidRPr="00010A42" w:rsidRDefault="0023453B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De exemplu, colabor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 cu profesioni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tii din domeniul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 pentru: </w:t>
      </w:r>
    </w:p>
    <w:p w:rsidR="00110299" w:rsidRPr="00010A42" w:rsidRDefault="00110299" w:rsidP="0023453B">
      <w:pPr>
        <w:pStyle w:val="BodyText2"/>
        <w:numPr>
          <w:ilvl w:val="0"/>
          <w:numId w:val="4"/>
        </w:numPr>
        <w:spacing w:after="0" w:line="240" w:lineRule="auto"/>
        <w:ind w:left="567" w:hanging="283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elege mai bine bolile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 ne dezvolta cuno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ele despre fiziopatologia bolilor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mecanismele de ac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iune ale noilor compu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i;</w:t>
      </w:r>
    </w:p>
    <w:p w:rsidR="00110299" w:rsidRPr="00010A42" w:rsidRDefault="00110299" w:rsidP="0023453B">
      <w:pPr>
        <w:pStyle w:val="BodyText2"/>
        <w:numPr>
          <w:ilvl w:val="0"/>
          <w:numId w:val="4"/>
        </w:numPr>
        <w:spacing w:after="0" w:line="240" w:lineRule="auto"/>
        <w:ind w:left="567" w:hanging="283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 extrage informa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necesare din expertiza acestora cu scopul de a ne adapta proiectele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interesul pacien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ilor;</w:t>
      </w:r>
    </w:p>
    <w:p w:rsidR="00110299" w:rsidRPr="00010A42" w:rsidRDefault="00110299" w:rsidP="0023453B">
      <w:pPr>
        <w:pStyle w:val="BodyText2"/>
        <w:numPr>
          <w:ilvl w:val="0"/>
          <w:numId w:val="4"/>
        </w:numPr>
        <w:spacing w:after="0" w:line="240" w:lineRule="auto"/>
        <w:ind w:left="567" w:hanging="283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ncuraja utilizarea corect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 produselor noastre;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</w:p>
    <w:p w:rsidR="00110299" w:rsidRPr="00010A42" w:rsidRDefault="00110299" w:rsidP="0023453B">
      <w:pPr>
        <w:pStyle w:val="BodyText2"/>
        <w:numPr>
          <w:ilvl w:val="0"/>
          <w:numId w:val="4"/>
        </w:numPr>
        <w:spacing w:after="0" w:line="240" w:lineRule="auto"/>
        <w:ind w:left="567" w:hanging="283"/>
        <w:jc w:val="left"/>
        <w:rPr>
          <w:rFonts w:ascii="Arial" w:hAnsi="Arial" w:cs="Arial"/>
          <w:sz w:val="20"/>
          <w:szCs w:val="20"/>
        </w:rPr>
      </w:pP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organiza prezent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tiin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ifice cu privire la patologii, aspecte conexe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produsele medicale pe care le comercializ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m.</w:t>
      </w:r>
    </w:p>
    <w:p w:rsidR="0023453B" w:rsidRPr="00010A42" w:rsidRDefault="0023453B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Deoarece respect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 principiul transparen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ei* care contribuie la dezvoltarea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ncrederii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rela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iile noastre cu 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ile interesate, cu publicul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i, mai ales, cu pacientul,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din 2014 am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nceput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facem public transferul de valoare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tre profesioni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tii din domeniul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conformitate cu legisla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*. Informa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iile sunt disponibile pe site-ul ANMDM (Agen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 Medicamentului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 Dispozitivelor Medicale).</w:t>
      </w:r>
    </w:p>
    <w:p w:rsidR="0023453B" w:rsidRPr="00010A42" w:rsidRDefault="0023453B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BodyText2"/>
        <w:spacing w:after="0" w:line="240" w:lineRule="auto"/>
        <w:jc w:val="left"/>
        <w:rPr>
          <w:rFonts w:ascii="Arial" w:hAnsi="Arial" w:cs="Arial"/>
          <w:sz w:val="14"/>
          <w:szCs w:val="20"/>
        </w:rPr>
      </w:pPr>
      <w:r w:rsidRPr="00010A42">
        <w:rPr>
          <w:rFonts w:ascii="Arial" w:hAnsi="Arial" w:cs="Arial"/>
          <w:sz w:val="14"/>
          <w:szCs w:val="20"/>
        </w:rPr>
        <w:t>*Ordinul Ministerului S</w:t>
      </w:r>
      <w:r w:rsidR="001631A6" w:rsidRPr="00010A42">
        <w:rPr>
          <w:rFonts w:ascii="Arial" w:hAnsi="Arial" w:cs="Arial"/>
          <w:sz w:val="14"/>
          <w:szCs w:val="20"/>
        </w:rPr>
        <w:t>a</w:t>
      </w:r>
      <w:r w:rsidRPr="00010A42">
        <w:rPr>
          <w:rFonts w:ascii="Arial" w:hAnsi="Arial" w:cs="Arial"/>
          <w:sz w:val="14"/>
          <w:szCs w:val="20"/>
        </w:rPr>
        <w:t>n</w:t>
      </w:r>
      <w:r w:rsidR="001631A6" w:rsidRPr="00010A42">
        <w:rPr>
          <w:rFonts w:ascii="Arial" w:hAnsi="Arial" w:cs="Arial"/>
          <w:sz w:val="14"/>
          <w:szCs w:val="20"/>
        </w:rPr>
        <w:t>a</w:t>
      </w:r>
      <w:r w:rsidRPr="00010A42">
        <w:rPr>
          <w:rFonts w:ascii="Arial" w:hAnsi="Arial" w:cs="Arial"/>
          <w:sz w:val="14"/>
          <w:szCs w:val="20"/>
        </w:rPr>
        <w:t>t</w:t>
      </w:r>
      <w:r w:rsidR="001631A6" w:rsidRPr="00010A42">
        <w:rPr>
          <w:rFonts w:ascii="Arial" w:hAnsi="Arial" w:cs="Arial"/>
          <w:sz w:val="14"/>
          <w:szCs w:val="20"/>
        </w:rPr>
        <w:t>at</w:t>
      </w:r>
      <w:r w:rsidRPr="00010A42">
        <w:rPr>
          <w:rFonts w:ascii="Arial" w:hAnsi="Arial" w:cs="Arial"/>
          <w:sz w:val="14"/>
          <w:szCs w:val="20"/>
        </w:rPr>
        <w:t xml:space="preserve">ii nr. 194/2015 </w:t>
      </w:r>
      <w:r w:rsidR="001631A6" w:rsidRPr="00010A42">
        <w:rPr>
          <w:rFonts w:ascii="Arial" w:hAnsi="Arial" w:cs="Arial"/>
          <w:sz w:val="14"/>
          <w:szCs w:val="20"/>
        </w:rPr>
        <w:t>s</w:t>
      </w:r>
      <w:r w:rsidRPr="00010A42">
        <w:rPr>
          <w:rFonts w:ascii="Arial" w:hAnsi="Arial" w:cs="Arial"/>
          <w:sz w:val="14"/>
          <w:szCs w:val="20"/>
        </w:rPr>
        <w:t>i Legea 95/2006</w:t>
      </w:r>
    </w:p>
    <w:p w:rsidR="0023453B" w:rsidRPr="00010A42" w:rsidRDefault="0023453B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Compania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implementat politici cu privire la regulile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cerin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ele opera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ionale pentru organizarea de evenimente, interac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iunile cu profesioni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tii din domeniul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dona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="0023453B" w:rsidRPr="00010A42">
        <w:rPr>
          <w:rFonts w:ascii="Arial" w:hAnsi="Arial" w:cs="Arial"/>
          <w:sz w:val="20"/>
          <w:szCs w:val="20"/>
        </w:rPr>
        <w:t>iile.</w:t>
      </w:r>
    </w:p>
    <w:p w:rsidR="0023453B" w:rsidRPr="00010A42" w:rsidRDefault="0023453B" w:rsidP="0023453B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23453B" w:rsidRPr="00010A42" w:rsidRDefault="0023453B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110299" w:rsidRPr="00010A42" w:rsidRDefault="00110299" w:rsidP="0023453B">
      <w:pPr>
        <w:pStyle w:val="Heading1"/>
        <w:numPr>
          <w:ilvl w:val="0"/>
          <w:numId w:val="31"/>
        </w:numPr>
        <w:spacing w:before="0" w:after="0"/>
        <w:rPr>
          <w:rFonts w:cs="Arial"/>
          <w:color w:val="17406D" w:themeColor="text2"/>
          <w:szCs w:val="20"/>
        </w:rPr>
      </w:pPr>
      <w:bookmarkStart w:id="19" w:name="_Toc12461586"/>
      <w:r w:rsidRPr="00010A42">
        <w:rPr>
          <w:rFonts w:cs="Arial"/>
          <w:color w:val="17406D" w:themeColor="text2"/>
          <w:szCs w:val="20"/>
        </w:rPr>
        <w:lastRenderedPageBreak/>
        <w:t xml:space="preserve">Sustenabilitate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i protec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ia mediului (S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>n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>tate, siguran</w:t>
      </w:r>
      <w:r w:rsidR="001631A6" w:rsidRPr="00010A42">
        <w:rPr>
          <w:rFonts w:cs="Arial"/>
          <w:color w:val="17406D" w:themeColor="text2"/>
          <w:szCs w:val="20"/>
        </w:rPr>
        <w:t>ta</w:t>
      </w:r>
      <w:r w:rsidRPr="00010A42">
        <w:rPr>
          <w:rFonts w:cs="Arial"/>
          <w:color w:val="17406D" w:themeColor="text2"/>
          <w:szCs w:val="20"/>
        </w:rPr>
        <w:t xml:space="preserve">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 xml:space="preserve">i mediu - </w:t>
      </w:r>
      <w:r w:rsidR="00CE2E60">
        <w:rPr>
          <w:rFonts w:cs="Arial"/>
          <w:color w:val="17406D" w:themeColor="text2"/>
          <w:szCs w:val="20"/>
        </w:rPr>
        <w:t>EHS</w:t>
      </w:r>
      <w:r w:rsidRPr="00010A42">
        <w:rPr>
          <w:rFonts w:cs="Arial"/>
          <w:color w:val="17406D" w:themeColor="text2"/>
          <w:szCs w:val="20"/>
        </w:rPr>
        <w:t>)</w:t>
      </w:r>
      <w:bookmarkEnd w:id="19"/>
    </w:p>
    <w:p w:rsidR="001631A6" w:rsidRPr="00010A42" w:rsidRDefault="001631A6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C65A9" w:rsidRPr="00010A42" w:rsidRDefault="00110299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Toate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 Zentiva se supun reglement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i, de asemenea, a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tept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rilor din </w:t>
      </w:r>
      <w:proofErr w:type="gramStart"/>
      <w:r w:rsidRPr="00010A42">
        <w:rPr>
          <w:rFonts w:ascii="Arial" w:hAnsi="Arial" w:cs="Arial"/>
          <w:sz w:val="20"/>
          <w:szCs w:val="20"/>
        </w:rPr>
        <w:t>ce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ce mai mari din partea 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 interesate,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domeniul SSM. Pentru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aborda aceste provoc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pentru a ne re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nnoi angajamentul fa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de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no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tri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fa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de mediu, am </w:t>
      </w:r>
      <w:r w:rsidR="00CE2E60">
        <w:rPr>
          <w:rFonts w:ascii="Arial" w:hAnsi="Arial" w:cs="Arial"/>
          <w:sz w:val="20"/>
          <w:szCs w:val="20"/>
        </w:rPr>
        <w:t xml:space="preserve">actualizat </w:t>
      </w:r>
      <w:r w:rsidRPr="00010A42">
        <w:rPr>
          <w:rFonts w:ascii="Arial" w:hAnsi="Arial" w:cs="Arial"/>
          <w:sz w:val="20"/>
          <w:szCs w:val="20"/>
        </w:rPr>
        <w:t>politic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actualizat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</w:t>
      </w:r>
      <w:r w:rsidR="00CE2E60">
        <w:rPr>
          <w:rFonts w:ascii="Arial" w:hAnsi="Arial" w:cs="Arial"/>
          <w:sz w:val="20"/>
          <w:szCs w:val="20"/>
        </w:rPr>
        <w:t>octombrie</w:t>
      </w:r>
      <w:r w:rsidRPr="00010A42">
        <w:rPr>
          <w:rFonts w:ascii="Arial" w:hAnsi="Arial" w:cs="Arial"/>
          <w:sz w:val="20"/>
          <w:szCs w:val="20"/>
        </w:rPr>
        <w:t xml:space="preserve"> 201</w:t>
      </w:r>
      <w:r w:rsidR="00CE2E60">
        <w:rPr>
          <w:rFonts w:ascii="Arial" w:hAnsi="Arial" w:cs="Arial"/>
          <w:sz w:val="20"/>
          <w:szCs w:val="20"/>
        </w:rPr>
        <w:t>8</w:t>
      </w:r>
      <w:r w:rsidRPr="00010A42">
        <w:rPr>
          <w:rFonts w:ascii="Arial" w:hAnsi="Arial" w:cs="Arial"/>
          <w:sz w:val="20"/>
          <w:szCs w:val="20"/>
        </w:rPr>
        <w:t>.</w:t>
      </w:r>
    </w:p>
    <w:p w:rsidR="004C65A9" w:rsidRPr="00010A42" w:rsidRDefault="004C65A9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BodyText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Aceast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politic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, piatra de temelie a strategiei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a companiei face parte din angajamentului nostru fa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de responsabilitatea social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corporativ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. Pentru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implementa aceast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politic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, </w:t>
      </w:r>
      <w:r w:rsidR="005A6AAC" w:rsidRPr="00010A42">
        <w:rPr>
          <w:rFonts w:ascii="Arial" w:hAnsi="Arial" w:cs="Arial"/>
          <w:sz w:val="20"/>
          <w:szCs w:val="20"/>
        </w:rPr>
        <w:t>Zentiva</w:t>
      </w:r>
      <w:r w:rsidRPr="00010A42">
        <w:rPr>
          <w:rFonts w:ascii="Arial" w:hAnsi="Arial" w:cs="Arial"/>
          <w:sz w:val="20"/>
          <w:szCs w:val="20"/>
        </w:rPr>
        <w:t xml:space="preserve"> a definit o serie de obiective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pentru 2025, care sunt aplicate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cadrul tuturor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ilor noastre, cu accent pe patru domenii cheie: </w:t>
      </w:r>
    </w:p>
    <w:p w:rsidR="00110299" w:rsidRPr="00010A42" w:rsidRDefault="001631A6" w:rsidP="00AF1B8A">
      <w:pPr>
        <w:pStyle w:val="BodyText2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ncurajarea schimb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rii atitudinilor fa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 xml:space="preserve"> de siguran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 xml:space="preserve">: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nseamn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ne angaja</w:t>
      </w:r>
      <w:r w:rsidR="00CE2E60">
        <w:rPr>
          <w:rFonts w:ascii="Arial" w:hAnsi="Arial" w:cs="Arial"/>
          <w:sz w:val="20"/>
          <w:szCs w:val="20"/>
        </w:rPr>
        <w:t>m</w:t>
      </w:r>
      <w:r w:rsidR="00110299" w:rsidRPr="00010A42">
        <w:rPr>
          <w:rFonts w:ascii="Arial" w:hAnsi="Arial" w:cs="Arial"/>
          <w:sz w:val="20"/>
          <w:szCs w:val="20"/>
        </w:rPr>
        <w:t xml:space="preserve"> 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protej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m via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a garant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nd 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to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 angaja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ii no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tri au parte de siguran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 xml:space="preserve"> la locul de munc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ajung acas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to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i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i teferi </w:t>
      </w:r>
      <w:r w:rsidRPr="00010A42">
        <w:rPr>
          <w:rFonts w:ascii="Arial" w:hAnsi="Arial" w:cs="Arial"/>
          <w:sz w:val="20"/>
          <w:szCs w:val="20"/>
        </w:rPr>
        <w:t>i</w:t>
      </w:r>
      <w:r w:rsidR="0023453B" w:rsidRPr="00010A42">
        <w:rPr>
          <w:rFonts w:ascii="Arial" w:hAnsi="Arial" w:cs="Arial"/>
          <w:sz w:val="20"/>
          <w:szCs w:val="20"/>
        </w:rPr>
        <w:t>n fiecare zi;</w:t>
      </w:r>
    </w:p>
    <w:p w:rsidR="00110299" w:rsidRPr="00010A42" w:rsidRDefault="00110299" w:rsidP="00AF1B8A">
      <w:pPr>
        <w:pStyle w:val="BodyText2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crearea unei comunit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toase prin protejarea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ii tuturor celor care lucreaz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23453B" w:rsidRPr="00010A42">
        <w:rPr>
          <w:rFonts w:ascii="Arial" w:hAnsi="Arial" w:cs="Arial"/>
          <w:sz w:val="20"/>
          <w:szCs w:val="20"/>
        </w:rPr>
        <w:t xml:space="preserve"> la Zentiva;</w:t>
      </w:r>
    </w:p>
    <w:p w:rsidR="00110299" w:rsidRPr="00010A42" w:rsidRDefault="00110299" w:rsidP="00AF1B8A">
      <w:pPr>
        <w:pStyle w:val="BodyText2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reducerea amprentei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ilor noastre asupra mediului: utilizarea strategiei noastre de pentru a deveni lider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materie de</w:t>
      </w:r>
      <w:r w:rsidR="0023453B" w:rsidRPr="00010A42">
        <w:rPr>
          <w:rFonts w:ascii="Arial" w:hAnsi="Arial" w:cs="Arial"/>
          <w:sz w:val="20"/>
          <w:szCs w:val="20"/>
        </w:rPr>
        <w:t xml:space="preserve"> management corporativ de mediu;</w:t>
      </w:r>
    </w:p>
    <w:p w:rsidR="00110299" w:rsidRPr="00010A42" w:rsidRDefault="00110299" w:rsidP="00AF1B8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consolidarea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ca partener al opera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iunilor noastre de afaceri: utilizarea programelor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cooperarea transversal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transform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provoc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oportunit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 pentru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pe pie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="0023453B" w:rsidRPr="00010A42">
        <w:rPr>
          <w:rFonts w:ascii="Arial" w:hAnsi="Arial" w:cs="Arial"/>
          <w:sz w:val="20"/>
          <w:szCs w:val="20"/>
        </w:rPr>
        <w:t>ele noastre;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Departamentul nostru de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a pus bazele unui cadru care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nglobeaz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toate aspectele: siguran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a la locul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siguran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a procesului,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tatea ocupa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 mediului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mpotriva incendiilor. Cadrul include cerin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ele de reglementare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regulile interne, rezultatele analizei riscurilor</w:t>
      </w:r>
      <w:r w:rsidR="0023453B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/</w:t>
      </w:r>
      <w:r w:rsidR="0023453B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oportunit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a fost transpus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ntr-un set de standarde obligatorii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ghiduri metodologice.</w:t>
      </w: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stTable6Colorful-Accent61"/>
        <w:tblW w:w="500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1986"/>
      </w:tblGrid>
      <w:tr w:rsidR="00110299" w:rsidRPr="00010A42" w:rsidTr="00234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  <w:tcBorders>
              <w:bottom w:val="none" w:sz="0" w:space="0" w:color="auto"/>
            </w:tcBorders>
          </w:tcPr>
          <w:p w:rsidR="00110299" w:rsidRPr="00010A42" w:rsidRDefault="00110299" w:rsidP="00234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Standarde interna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>ionale</w:t>
            </w:r>
          </w:p>
        </w:tc>
        <w:tc>
          <w:tcPr>
            <w:tcW w:w="1061" w:type="pct"/>
            <w:tcBorders>
              <w:bottom w:val="none" w:sz="0" w:space="0" w:color="auto"/>
            </w:tcBorders>
          </w:tcPr>
          <w:p w:rsidR="00110299" w:rsidRPr="00010A42" w:rsidRDefault="00110299" w:rsidP="002345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Certific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ri Zentiva</w:t>
            </w:r>
          </w:p>
        </w:tc>
      </w:tr>
      <w:tr w:rsidR="0023453B" w:rsidRPr="00010A42" w:rsidTr="0023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23453B" w:rsidRPr="00010A42" w:rsidRDefault="0023453B" w:rsidP="00AF1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pct"/>
          </w:tcPr>
          <w:p w:rsidR="0023453B" w:rsidRPr="00010A42" w:rsidRDefault="0023453B" w:rsidP="00AF1B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99" w:rsidRPr="00010A42" w:rsidTr="00234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ISO 9001 (Managementul Calit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at</w:t>
            </w:r>
            <w:r w:rsidRPr="00010A42"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ISO 14001 (Managementul mediului)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OHSAS 18001 (S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n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 xml:space="preserve">tate 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s</w:t>
            </w:r>
            <w:r w:rsidRPr="00010A42">
              <w:rPr>
                <w:rFonts w:ascii="Arial" w:hAnsi="Arial" w:cs="Arial"/>
                <w:sz w:val="20"/>
                <w:szCs w:val="20"/>
              </w:rPr>
              <w:t>i Securitate Ocupa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>ional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1" w:type="pct"/>
          </w:tcPr>
          <w:p w:rsidR="00110299" w:rsidRPr="00010A42" w:rsidRDefault="00110299" w:rsidP="002345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ISO 50001 (Managementul energiei)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Autoriza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>ia de mediu nr. 234/07.05.2012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Aviz de gospod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a</w:t>
            </w:r>
            <w:r w:rsidRPr="00010A42">
              <w:rPr>
                <w:rFonts w:ascii="Arial" w:hAnsi="Arial" w:cs="Arial"/>
                <w:sz w:val="20"/>
                <w:szCs w:val="20"/>
              </w:rPr>
              <w:t xml:space="preserve">rire </w:t>
            </w:r>
            <w:proofErr w:type="gramStart"/>
            <w:r w:rsidRPr="00010A4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10A42">
              <w:rPr>
                <w:rFonts w:ascii="Arial" w:hAnsi="Arial" w:cs="Arial"/>
                <w:sz w:val="20"/>
                <w:szCs w:val="20"/>
              </w:rPr>
              <w:t xml:space="preserve"> apelor nr. </w:t>
            </w:r>
            <w:r w:rsidR="002A1543" w:rsidRPr="00CE2E60">
              <w:rPr>
                <w:rFonts w:ascii="Arial" w:hAnsi="Arial" w:cs="Arial"/>
                <w:sz w:val="20"/>
                <w:szCs w:val="20"/>
              </w:rPr>
              <w:t>517 B/ 02.11.2018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Autoriza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>ie de deversare nr. 152/31.08.2012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Autoriza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>ie de securitate la incendiu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Autoriza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>ie de produc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 xml:space="preserve">ie nr. </w:t>
            </w:r>
            <w:r w:rsidR="002A1543" w:rsidRPr="00010A42">
              <w:rPr>
                <w:rFonts w:ascii="Arial" w:hAnsi="Arial" w:cs="Arial"/>
                <w:sz w:val="20"/>
                <w:szCs w:val="20"/>
              </w:rPr>
              <w:t>15F/16.04.2019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110299" w:rsidRPr="00010A42" w:rsidTr="0023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</w:tcPr>
          <w:p w:rsidR="00110299" w:rsidRPr="00010A42" w:rsidRDefault="00110299" w:rsidP="00AF1B8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Certificat de conformitate cu bunele practici de fabrica</w:t>
            </w:r>
            <w:r w:rsidR="001631A6" w:rsidRPr="00010A42">
              <w:rPr>
                <w:rFonts w:ascii="Arial" w:hAnsi="Arial" w:cs="Arial"/>
                <w:sz w:val="20"/>
                <w:szCs w:val="20"/>
              </w:rPr>
              <w:t>t</w:t>
            </w:r>
            <w:r w:rsidRPr="00010A42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2A1543" w:rsidRPr="00CE2E60">
              <w:rPr>
                <w:rFonts w:ascii="Arial" w:hAnsi="Arial" w:cs="Arial"/>
                <w:color w:val="auto"/>
                <w:sz w:val="20"/>
                <w:szCs w:val="20"/>
              </w:rPr>
              <w:t>036/2018</w:t>
            </w:r>
          </w:p>
        </w:tc>
        <w:tc>
          <w:tcPr>
            <w:tcW w:w="1061" w:type="pct"/>
          </w:tcPr>
          <w:p w:rsidR="00110299" w:rsidRPr="00010A42" w:rsidRDefault="00110299" w:rsidP="00AF1B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</w:tbl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Pe 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ng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auditurile realizate de Grup la fiecare trei ani, unitatea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 a Zentiva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supus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mai multor audituri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inspec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interne.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201</w:t>
      </w:r>
      <w:r w:rsidR="002A1543" w:rsidRPr="00010A42">
        <w:rPr>
          <w:rFonts w:ascii="Arial" w:hAnsi="Arial" w:cs="Arial"/>
          <w:sz w:val="20"/>
          <w:szCs w:val="20"/>
        </w:rPr>
        <w:t>8</w:t>
      </w:r>
      <w:r w:rsidRPr="00010A42">
        <w:rPr>
          <w:rFonts w:ascii="Arial" w:hAnsi="Arial" w:cs="Arial"/>
          <w:sz w:val="20"/>
          <w:szCs w:val="20"/>
        </w:rPr>
        <w:t xml:space="preserve">, au fost efectuate </w:t>
      </w:r>
      <w:r w:rsidR="002A1543" w:rsidRPr="00010A42">
        <w:rPr>
          <w:rFonts w:ascii="Arial" w:hAnsi="Arial" w:cs="Arial"/>
          <w:sz w:val="20"/>
          <w:szCs w:val="20"/>
        </w:rPr>
        <w:t xml:space="preserve">23 </w:t>
      </w:r>
      <w:r w:rsidRPr="00010A42">
        <w:rPr>
          <w:rFonts w:ascii="Arial" w:hAnsi="Arial" w:cs="Arial"/>
          <w:sz w:val="20"/>
          <w:szCs w:val="20"/>
        </w:rPr>
        <w:t>(</w:t>
      </w:r>
      <w:r w:rsidR="002A1543" w:rsidRPr="00010A42">
        <w:rPr>
          <w:rFonts w:ascii="Arial" w:hAnsi="Arial" w:cs="Arial"/>
          <w:sz w:val="20"/>
          <w:szCs w:val="20"/>
        </w:rPr>
        <w:t>douazecisitrei</w:t>
      </w:r>
      <w:r w:rsidRPr="00010A42">
        <w:rPr>
          <w:rFonts w:ascii="Arial" w:hAnsi="Arial" w:cs="Arial"/>
          <w:sz w:val="20"/>
          <w:szCs w:val="20"/>
        </w:rPr>
        <w:t xml:space="preserve">) audituri interne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inspec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ii, cu rezultate bune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ceea </w:t>
      </w:r>
      <w:proofErr w:type="gramStart"/>
      <w:r w:rsidRPr="00010A42">
        <w:rPr>
          <w:rFonts w:ascii="Arial" w:hAnsi="Arial" w:cs="Arial"/>
          <w:sz w:val="20"/>
          <w:szCs w:val="20"/>
        </w:rPr>
        <w:t>ce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prive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 siguran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a,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 mediului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="0023453B" w:rsidRPr="00010A42">
        <w:rPr>
          <w:rFonts w:ascii="Arial" w:hAnsi="Arial" w:cs="Arial"/>
          <w:sz w:val="20"/>
          <w:szCs w:val="20"/>
        </w:rPr>
        <w:t>i prevenirea incendiilor.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Unitatea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>, de asemenea, supus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inspec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iilor din partea autorit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 ter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ilor, cum ar fi clien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poten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iali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actuali.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201</w:t>
      </w:r>
      <w:r w:rsidR="002A1543" w:rsidRPr="00010A42">
        <w:rPr>
          <w:rFonts w:ascii="Arial" w:hAnsi="Arial" w:cs="Arial"/>
          <w:sz w:val="20"/>
          <w:szCs w:val="20"/>
        </w:rPr>
        <w:t>8</w:t>
      </w:r>
      <w:r w:rsidRPr="00010A42">
        <w:rPr>
          <w:rFonts w:ascii="Arial" w:hAnsi="Arial" w:cs="Arial"/>
          <w:sz w:val="20"/>
          <w:szCs w:val="20"/>
        </w:rPr>
        <w:t>, unitatea a fost verificat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</w:t>
      </w:r>
      <w:r w:rsidR="002A1543" w:rsidRPr="00010A42">
        <w:rPr>
          <w:rFonts w:ascii="Arial" w:hAnsi="Arial" w:cs="Arial"/>
          <w:sz w:val="20"/>
          <w:szCs w:val="20"/>
        </w:rPr>
        <w:t xml:space="preserve"> ITM si</w:t>
      </w:r>
      <w:r w:rsidRPr="00010A42">
        <w:rPr>
          <w:rFonts w:ascii="Arial" w:hAnsi="Arial" w:cs="Arial"/>
          <w:sz w:val="20"/>
          <w:szCs w:val="20"/>
        </w:rPr>
        <w:t xml:space="preserve"> Garda de Mediu; nu au fost formulate constat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 critice </w:t>
      </w:r>
      <w:r w:rsidR="00CE2E60">
        <w:rPr>
          <w:rFonts w:ascii="Arial" w:hAnsi="Arial" w:cs="Arial"/>
          <w:sz w:val="20"/>
          <w:szCs w:val="20"/>
        </w:rPr>
        <w:t>si nu au fost</w:t>
      </w:r>
      <w:r w:rsidRPr="00010A42">
        <w:rPr>
          <w:rFonts w:ascii="Arial" w:hAnsi="Arial" w:cs="Arial"/>
          <w:sz w:val="20"/>
          <w:szCs w:val="20"/>
        </w:rPr>
        <w:t xml:space="preserve"> emise amenzi.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53B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Auditurile periodice de supraveghere (intr-un ciclu de certificare de trei ani) sunt efectuate de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tre Lloyd's Register Rom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nia, iar procesele au confirmat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au men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inut certific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23453B" w:rsidRPr="00010A42">
        <w:rPr>
          <w:rFonts w:ascii="Arial" w:hAnsi="Arial" w:cs="Arial"/>
          <w:sz w:val="20"/>
          <w:szCs w:val="20"/>
        </w:rPr>
        <w:t>rile standardelor ISO.</w:t>
      </w:r>
    </w:p>
    <w:p w:rsidR="0023453B" w:rsidRPr="00010A42" w:rsidRDefault="0023453B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23453B" w:rsidRPr="00010A42" w:rsidRDefault="0023453B" w:rsidP="0023453B">
      <w:pPr>
        <w:pStyle w:val="Heading1"/>
        <w:numPr>
          <w:ilvl w:val="0"/>
          <w:numId w:val="33"/>
        </w:numPr>
        <w:spacing w:before="0" w:after="0"/>
        <w:rPr>
          <w:rFonts w:cs="Arial"/>
          <w:color w:val="17406D" w:themeColor="text2"/>
          <w:szCs w:val="20"/>
        </w:rPr>
      </w:pPr>
      <w:bookmarkStart w:id="20" w:name="_Toc12461587"/>
      <w:r w:rsidRPr="00010A42">
        <w:rPr>
          <w:rFonts w:cs="Arial"/>
          <w:color w:val="17406D" w:themeColor="text2"/>
          <w:szCs w:val="20"/>
        </w:rPr>
        <w:lastRenderedPageBreak/>
        <w:t xml:space="preserve">Sustenabilitate si protectia mediului (Sanatate, siguranta si mediu - </w:t>
      </w:r>
      <w:r w:rsidR="00CE2E60">
        <w:rPr>
          <w:rFonts w:cs="Arial"/>
          <w:color w:val="17406D" w:themeColor="text2"/>
          <w:szCs w:val="20"/>
        </w:rPr>
        <w:t>EHS</w:t>
      </w:r>
      <w:r w:rsidRPr="00010A42">
        <w:rPr>
          <w:rFonts w:cs="Arial"/>
          <w:color w:val="17406D" w:themeColor="text2"/>
          <w:szCs w:val="20"/>
        </w:rPr>
        <w:t>) (continuare)</w:t>
      </w:r>
      <w:bookmarkEnd w:id="20"/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21" w:name="_Toc12461588"/>
      <w:r w:rsidRPr="00010A42">
        <w:rPr>
          <w:rFonts w:cs="Arial"/>
          <w:color w:val="17406D" w:themeColor="text2"/>
          <w:szCs w:val="20"/>
        </w:rPr>
        <w:t xml:space="preserve">4.1 Evaluarea riscurilor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i a impactului</w:t>
      </w:r>
      <w:bookmarkEnd w:id="21"/>
    </w:p>
    <w:p w:rsidR="001631A6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Procesul de gestionare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identificare a riscurilor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esen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ial pentru sistemul nostru global de management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>. Obiectivul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u principal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de a identifica pericolele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riscurile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de a evalua probabilitatea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efectele poten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iale ale acestora, prin maparea riscurilor globale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prin implementarea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surilor de control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reducere a riscurilor. </w:t>
      </w:r>
      <w:r w:rsidR="00CE2E60">
        <w:rPr>
          <w:rFonts w:ascii="Arial" w:hAnsi="Arial" w:cs="Arial"/>
          <w:sz w:val="20"/>
          <w:szCs w:val="20"/>
        </w:rPr>
        <w:t>Compania</w:t>
      </w:r>
      <w:r w:rsidRPr="00010A42">
        <w:rPr>
          <w:rFonts w:ascii="Arial" w:hAnsi="Arial" w:cs="Arial"/>
          <w:sz w:val="20"/>
          <w:szCs w:val="20"/>
        </w:rPr>
        <w:t xml:space="preserve"> are </w:t>
      </w: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program complet de evaluare a riscurilor care acoper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toate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="00CE2E60">
        <w:rPr>
          <w:rFonts w:ascii="Arial" w:hAnsi="Arial" w:cs="Arial"/>
          <w:sz w:val="20"/>
          <w:szCs w:val="20"/>
        </w:rPr>
        <w:t xml:space="preserve">ile sale, </w:t>
      </w:r>
      <w:r w:rsidRPr="00010A42">
        <w:rPr>
          <w:rFonts w:ascii="Arial" w:hAnsi="Arial" w:cs="Arial"/>
          <w:sz w:val="20"/>
          <w:szCs w:val="20"/>
        </w:rPr>
        <w:t>identific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CE2E60">
        <w:rPr>
          <w:rFonts w:ascii="Arial" w:hAnsi="Arial" w:cs="Arial"/>
          <w:sz w:val="20"/>
          <w:szCs w:val="20"/>
        </w:rPr>
        <w:t>nd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mod sistematic toate pericolele </w:t>
      </w:r>
      <w:r w:rsidR="00CE2E60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evalu</w:t>
      </w:r>
      <w:r w:rsidR="00CE2E60">
        <w:rPr>
          <w:rFonts w:ascii="Arial" w:hAnsi="Arial" w:cs="Arial"/>
          <w:sz w:val="20"/>
          <w:szCs w:val="20"/>
        </w:rPr>
        <w:t>and</w:t>
      </w:r>
      <w:r w:rsidRPr="00010A42">
        <w:rPr>
          <w:rFonts w:ascii="Arial" w:hAnsi="Arial" w:cs="Arial"/>
          <w:sz w:val="20"/>
          <w:szCs w:val="20"/>
        </w:rPr>
        <w:t xml:space="preserve"> riscurile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="0023453B" w:rsidRPr="00010A42">
        <w:rPr>
          <w:rFonts w:ascii="Arial" w:hAnsi="Arial" w:cs="Arial"/>
          <w:sz w:val="20"/>
          <w:szCs w:val="20"/>
        </w:rPr>
        <w:t>i efectele conexe.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CommentText"/>
        <w:spacing w:after="0" w:line="240" w:lineRule="auto"/>
        <w:rPr>
          <w:rFonts w:ascii="Arial" w:hAnsi="Arial" w:cs="Arial"/>
        </w:rPr>
      </w:pPr>
      <w:r w:rsidRPr="00010A42">
        <w:rPr>
          <w:rFonts w:ascii="Arial" w:hAnsi="Arial" w:cs="Arial"/>
        </w:rPr>
        <w:t>O dat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la trei ani, se efectueaz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o analiz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privind evaluarea riscurilor, care apoi se distribuie 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i se discut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cu toate p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>r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 xml:space="preserve">ile interesate relevante. </w:t>
      </w:r>
      <w:r w:rsidR="001631A6" w:rsidRPr="00010A42">
        <w:rPr>
          <w:rFonts w:ascii="Arial" w:hAnsi="Arial" w:cs="Arial"/>
        </w:rPr>
        <w:t>I</w:t>
      </w:r>
      <w:r w:rsidRPr="00010A42">
        <w:rPr>
          <w:rFonts w:ascii="Arial" w:hAnsi="Arial" w:cs="Arial"/>
        </w:rPr>
        <w:t xml:space="preserve">n urma acestei analize, se </w:t>
      </w:r>
      <w:r w:rsidR="001631A6" w:rsidRPr="00010A42">
        <w:rPr>
          <w:rFonts w:ascii="Arial" w:hAnsi="Arial" w:cs="Arial"/>
        </w:rPr>
        <w:t>i</w:t>
      </w:r>
      <w:r w:rsidRPr="00010A42">
        <w:rPr>
          <w:rFonts w:ascii="Arial" w:hAnsi="Arial" w:cs="Arial"/>
        </w:rPr>
        <w:t>ntocme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te planul de ac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 xml:space="preserve">iune 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i de management al riscurilor.</w:t>
      </w:r>
    </w:p>
    <w:p w:rsidR="0023453B" w:rsidRPr="00010A42" w:rsidRDefault="0023453B" w:rsidP="00AF1B8A">
      <w:pPr>
        <w:pStyle w:val="CommentText"/>
        <w:spacing w:after="0" w:line="240" w:lineRule="auto"/>
        <w:rPr>
          <w:rFonts w:ascii="Arial" w:hAnsi="Arial" w:cs="Arial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Metodologia de evaluare vizeaz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identificarea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cuantificarea pericolelor, 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evaluarea nivelului de risc 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nd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considerare gradul de implementare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iunilor prin care se gestioneaz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riscul: 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Siguran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a proceselor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riscul de explozie;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Riscuri de incendiu;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Expunerea la dezastre naturale (evaluat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mpreun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cu asigur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torii, dac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este necesar);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Riscurile aferente sta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iilor de lucru; 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Siguran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a rutier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; 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Riscuri de asfixiere; 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Riscuri de boli profesionale;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</w:p>
    <w:p w:rsidR="00110299" w:rsidRPr="00010A42" w:rsidRDefault="00110299" w:rsidP="0023453B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Riscuri de mediu.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Evalu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riscurilor sunt revizuite periodic, 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ori de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te ori exist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o schimbare semnificativ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sau de proces.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Zentiva </w:t>
      </w:r>
      <w:r w:rsidR="001631A6" w:rsidRPr="00010A42">
        <w:rPr>
          <w:rFonts w:ascii="Arial" w:hAnsi="Arial" w:cs="Arial"/>
          <w:sz w:val="20"/>
          <w:szCs w:val="20"/>
        </w:rPr>
        <w:t>is</w:t>
      </w:r>
      <w:r w:rsidRPr="00010A42">
        <w:rPr>
          <w:rFonts w:ascii="Arial" w:hAnsi="Arial" w:cs="Arial"/>
          <w:sz w:val="20"/>
          <w:szCs w:val="20"/>
        </w:rPr>
        <w:t>i stabile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men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ine propriul plan de 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spuns pentru situa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de urgen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, adaptat pentru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ncorpora riscurile specifice 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resursele interne sau externe care ar fi utilizate sau solicitate ca 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spuns la astfel de riscuri. Aceast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harta a riscurilor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evaluat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anual.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Rezultatele evalu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rilor sunt comparate pe o hart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 riscurilor, pe care sunt trecute toate tipurile de riscuri asociate fabricii sau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ii. Aceste riscuri sunt apoi clasificate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func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de priorit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i, cu priorit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ile avizate de conducere, mai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i la nivel de unitate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apoi la nivel de activitate. Toate h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ile de risc sunt incluse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ntr-un raport de sintez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. Planurile de ac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iune sunt apoi implementate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consecin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>, la nivelul corespunz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tor (unitate, activitate sau la nivel de companie).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Toate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surile sunt monitorizate</w:t>
      </w:r>
      <w:r w:rsidR="00DF6695"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mod sistematic cu ajutorul unor instrumente dedicate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cadrul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edin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elor periodice.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Procesul de monitorizare relev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de asemenea, dac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surile au fost adecvate, eficiente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dac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eficacitatea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cea preconizat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Toate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surile preventive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corective (CAPA) definite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201</w:t>
      </w:r>
      <w:r w:rsidR="002A1543" w:rsidRPr="00010A42">
        <w:rPr>
          <w:rFonts w:ascii="Arial" w:hAnsi="Arial" w:cs="Arial"/>
          <w:sz w:val="20"/>
          <w:szCs w:val="20"/>
        </w:rPr>
        <w:t>8</w:t>
      </w:r>
      <w:r w:rsidRPr="00010A42">
        <w:rPr>
          <w:rFonts w:ascii="Arial" w:hAnsi="Arial" w:cs="Arial"/>
          <w:sz w:val="20"/>
          <w:szCs w:val="20"/>
        </w:rPr>
        <w:t xml:space="preserve"> au fost implementate conform planului.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53B" w:rsidRPr="00010A42" w:rsidRDefault="0023453B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23453B" w:rsidRPr="00010A42" w:rsidRDefault="0023453B" w:rsidP="0023453B">
      <w:pPr>
        <w:pStyle w:val="Heading1"/>
        <w:numPr>
          <w:ilvl w:val="0"/>
          <w:numId w:val="34"/>
        </w:numPr>
        <w:spacing w:before="0" w:after="0"/>
        <w:rPr>
          <w:rFonts w:cs="Arial"/>
          <w:color w:val="17406D" w:themeColor="text2"/>
          <w:szCs w:val="20"/>
        </w:rPr>
      </w:pPr>
      <w:bookmarkStart w:id="22" w:name="_Toc12461589"/>
      <w:r w:rsidRPr="00010A42">
        <w:rPr>
          <w:rFonts w:cs="Arial"/>
          <w:color w:val="17406D" w:themeColor="text2"/>
          <w:szCs w:val="20"/>
        </w:rPr>
        <w:lastRenderedPageBreak/>
        <w:t xml:space="preserve">Sustenabilitate si protectia mediului (Sanatate, siguranta si mediu - </w:t>
      </w:r>
      <w:r w:rsidR="007C7B63">
        <w:rPr>
          <w:rFonts w:cs="Arial"/>
          <w:color w:val="17406D" w:themeColor="text2"/>
          <w:szCs w:val="20"/>
        </w:rPr>
        <w:t>EHS</w:t>
      </w:r>
      <w:r w:rsidRPr="00010A42">
        <w:rPr>
          <w:rFonts w:cs="Arial"/>
          <w:color w:val="17406D" w:themeColor="text2"/>
          <w:szCs w:val="20"/>
        </w:rPr>
        <w:t>) (continuare)</w:t>
      </w:r>
      <w:bookmarkEnd w:id="22"/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23" w:name="_Toc12461590"/>
      <w:r w:rsidRPr="00010A42">
        <w:rPr>
          <w:rFonts w:cs="Arial"/>
          <w:color w:val="17406D" w:themeColor="text2"/>
          <w:szCs w:val="20"/>
        </w:rPr>
        <w:t xml:space="preserve">4.2 Instruire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i ini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iative de con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tientizare</w:t>
      </w:r>
      <w:bookmarkEnd w:id="23"/>
    </w:p>
    <w:p w:rsidR="001631A6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Investim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programe de instruire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con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tientizare care au ca scop integrarea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iei mediului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prevenirea riscurilor de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tate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siguran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tot </w:t>
      </w:r>
      <w:proofErr w:type="gramStart"/>
      <w:r w:rsidRPr="00010A42">
        <w:rPr>
          <w:rFonts w:ascii="Arial" w:hAnsi="Arial" w:cs="Arial"/>
          <w:sz w:val="20"/>
          <w:szCs w:val="20"/>
        </w:rPr>
        <w:t>ce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facem.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Fiecare angajat nou are parte de instruire </w:t>
      </w:r>
      <w:r w:rsidR="007C7B63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ini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adecvat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tipului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, astfel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 </w:t>
      </w:r>
      <w:proofErr w:type="gramStart"/>
      <w:r w:rsidRPr="00010A42">
        <w:rPr>
          <w:rFonts w:ascii="Arial" w:hAnsi="Arial" w:cs="Arial"/>
          <w:sz w:val="20"/>
          <w:szCs w:val="20"/>
        </w:rPr>
        <w:t>s</w:t>
      </w:r>
      <w:r w:rsidR="001631A6"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poat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-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ndeplineasc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sarcinile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strict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conformitate cu regulile.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func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de sarcini,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pot participa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la alte module de instruire legate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mod specific de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 desf</w:t>
      </w:r>
      <w:r w:rsidR="001631A6" w:rsidRPr="00010A42">
        <w:rPr>
          <w:rFonts w:ascii="Arial" w:hAnsi="Arial" w:cs="Arial"/>
          <w:sz w:val="20"/>
          <w:szCs w:val="20"/>
        </w:rPr>
        <w:t>as</w:t>
      </w:r>
      <w:r w:rsidRPr="00010A42">
        <w:rPr>
          <w:rFonts w:ascii="Arial" w:hAnsi="Arial" w:cs="Arial"/>
          <w:sz w:val="20"/>
          <w:szCs w:val="20"/>
        </w:rPr>
        <w:t>urate (cum ar fi privind conducerea ecologic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pentru reprezentan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medicali sau de 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 sau riscurile chimice pentru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care manipuleaz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produse chimice).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Pentru fiecare post din cadrul companiei a fost creat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o matrice de instruire, iar instruirea </w:t>
      </w:r>
      <w:r w:rsidR="007C7B63">
        <w:rPr>
          <w:rFonts w:ascii="Arial" w:hAnsi="Arial" w:cs="Arial"/>
          <w:sz w:val="20"/>
          <w:szCs w:val="20"/>
        </w:rPr>
        <w:t xml:space="preserve">EHS </w:t>
      </w:r>
      <w:r w:rsidRPr="00010A42">
        <w:rPr>
          <w:rFonts w:ascii="Arial" w:hAnsi="Arial" w:cs="Arial"/>
          <w:sz w:val="20"/>
          <w:szCs w:val="20"/>
        </w:rPr>
        <w:t>a fost efectuat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100%.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 xml:space="preserve">n plus,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cadrul sesiunilor de instruire, angaja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ii sunt informa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 cu privire la noile incidente sau accidente ap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rute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la poten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ialele situa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ii periculoase.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 xml:space="preserve">n mod voluntar,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lunile de prim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var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toamn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, angaja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ii fabricii Zentiva au participat,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calitate de parteneri ai Asocia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iei P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durea Copiilor, la campaniile de plantare de copaci, sprijinind astfel dezvoltarea p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durilor din partea de sud-est a Rom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niei. Din 2007, Asocia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ia "P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durea Copiilor" gestioneaz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un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program de mediu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dezvoltare a comunit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 xml:space="preserve">ilor din partea de sud-est a 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 xml:space="preserve">rii. Obiectivul lor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este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replantarea copacilor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aceast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parte a 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>rii, care este vulnerabil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la schimb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rile climatice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condi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iile meteorologice extreme (inunda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ii masive, secet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, viscole etc.) </w:t>
      </w:r>
    </w:p>
    <w:p w:rsidR="00110299" w:rsidRPr="00010A42" w:rsidRDefault="00110299" w:rsidP="00AF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2A1543" w:rsidRPr="00010A42">
        <w:rPr>
          <w:rFonts w:ascii="Arial" w:hAnsi="Arial" w:cs="Arial"/>
          <w:sz w:val="20"/>
          <w:szCs w:val="20"/>
        </w:rPr>
        <w:t>n 2018</w:t>
      </w:r>
      <w:r w:rsidR="00110299" w:rsidRPr="00010A42">
        <w:rPr>
          <w:rFonts w:ascii="Arial" w:hAnsi="Arial" w:cs="Arial"/>
          <w:sz w:val="20"/>
          <w:szCs w:val="20"/>
        </w:rPr>
        <w:t xml:space="preserve">, nu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a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avut loc niciun accident de munc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cadrul unit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 xml:space="preserve">ii. </w:t>
      </w:r>
      <w:r w:rsidR="007C7B63">
        <w:rPr>
          <w:rFonts w:ascii="Arial" w:hAnsi="Arial" w:cs="Arial"/>
          <w:sz w:val="20"/>
          <w:szCs w:val="20"/>
        </w:rPr>
        <w:t>Cu toate acestea</w:t>
      </w:r>
      <w:r w:rsidR="00110299" w:rsidRPr="00010A42">
        <w:rPr>
          <w:rFonts w:ascii="Arial" w:hAnsi="Arial" w:cs="Arial"/>
          <w:sz w:val="20"/>
          <w:szCs w:val="20"/>
        </w:rPr>
        <w:t>, dou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accidente de munc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au fost raportate autorit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>ilor, accidentele av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nd loc pe drumul angajatului de la domiciliu la locul de munc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.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consecin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>, preventiv, s-au implementat m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suri de comunicare </w:t>
      </w:r>
      <w:r w:rsidR="007C7B63">
        <w:rPr>
          <w:rFonts w:ascii="Arial" w:hAnsi="Arial" w:cs="Arial"/>
          <w:sz w:val="20"/>
          <w:szCs w:val="20"/>
        </w:rPr>
        <w:t>periodica</w:t>
      </w:r>
      <w:r w:rsidR="00110299" w:rsidRPr="00010A42">
        <w:rPr>
          <w:rFonts w:ascii="Arial" w:hAnsi="Arial" w:cs="Arial"/>
          <w:sz w:val="20"/>
          <w:szCs w:val="20"/>
        </w:rPr>
        <w:t xml:space="preserve"> referitoare la respectarea Codului rutier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a reglement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rilor, precum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a campaniilor de con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tientizare cu privire la riscurile de alunecare,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 xml:space="preserve">mpiedicare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dere.</w:t>
      </w:r>
    </w:p>
    <w:p w:rsidR="001631A6" w:rsidRPr="00010A42" w:rsidRDefault="001631A6" w:rsidP="00AF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453B" w:rsidRPr="00010A42" w:rsidRDefault="0023453B" w:rsidP="00AF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24" w:name="_Toc12461591"/>
      <w:r w:rsidRPr="00010A42">
        <w:rPr>
          <w:rFonts w:cs="Arial"/>
          <w:color w:val="17406D" w:themeColor="text2"/>
          <w:szCs w:val="20"/>
        </w:rPr>
        <w:t>4.3 S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>n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>tate</w:t>
      </w:r>
      <w:bookmarkEnd w:id="24"/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25" w:name="_Toc12461592"/>
      <w:r w:rsidRPr="00010A42">
        <w:rPr>
          <w:rFonts w:cs="Arial"/>
          <w:color w:val="17406D" w:themeColor="text2"/>
          <w:szCs w:val="20"/>
        </w:rPr>
        <w:t>4.3.1 Managementul riscurilor asociate substan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elor folosite in procesul de fabricare</w:t>
      </w:r>
      <w:bookmarkEnd w:id="25"/>
    </w:p>
    <w:p w:rsidR="001631A6" w:rsidRPr="00010A42" w:rsidRDefault="001631A6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1631A6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Evalu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 continuu efectele produselor asupra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 umane,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special asupra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ilor no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tri. Aceast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analiz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pus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la dispozi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 prin intermediul comisiilor responsabile pentru evaluarea riscurilor chimice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biologice, utilizate la stabilirea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surilor adecvate pentru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 de prevenire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mpotriva riscurilor.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31A6" w:rsidRPr="00010A42" w:rsidRDefault="002A154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Comitetul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responsabil pentru determinarea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clasificarea pericolelor pentru toate principiile</w:t>
      </w:r>
      <w:r w:rsidR="00AF1B8A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 xml:space="preserve">active farmaceutice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intermediarii manipula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sau fabrica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pe site-urile noastre. Comitetul ofer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ndrum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 privind riscurile, m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surile preventive, controalele, echipamentele de protec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individual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supravegherea medical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4E21A3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programele specifice de instruire asociate.</w:t>
      </w:r>
    </w:p>
    <w:p w:rsidR="0023453B" w:rsidRPr="00010A42" w:rsidRDefault="0023453B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23453B" w:rsidRPr="00010A42" w:rsidRDefault="0023453B" w:rsidP="0023453B">
      <w:pPr>
        <w:pStyle w:val="Heading1"/>
        <w:numPr>
          <w:ilvl w:val="0"/>
          <w:numId w:val="35"/>
        </w:numPr>
        <w:spacing w:before="0" w:after="0"/>
        <w:rPr>
          <w:rFonts w:cs="Arial"/>
          <w:color w:val="17406D" w:themeColor="text2"/>
          <w:szCs w:val="20"/>
        </w:rPr>
      </w:pPr>
      <w:bookmarkStart w:id="26" w:name="_Toc12461593"/>
      <w:r w:rsidRPr="00010A42">
        <w:rPr>
          <w:rFonts w:cs="Arial"/>
          <w:color w:val="17406D" w:themeColor="text2"/>
          <w:szCs w:val="20"/>
        </w:rPr>
        <w:lastRenderedPageBreak/>
        <w:t xml:space="preserve">Sustenabilitate si protectia mediului (Sanatate, siguranta si mediu - </w:t>
      </w:r>
      <w:r w:rsidR="007C7B63">
        <w:rPr>
          <w:rFonts w:cs="Arial"/>
          <w:color w:val="17406D" w:themeColor="text2"/>
          <w:szCs w:val="20"/>
        </w:rPr>
        <w:t>EHS</w:t>
      </w:r>
      <w:r w:rsidRPr="00010A42">
        <w:rPr>
          <w:rFonts w:cs="Arial"/>
          <w:color w:val="17406D" w:themeColor="text2"/>
          <w:szCs w:val="20"/>
        </w:rPr>
        <w:t>) (continuare)</w:t>
      </w:r>
      <w:bookmarkEnd w:id="26"/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27" w:name="_Toc12461594"/>
      <w:r w:rsidRPr="00010A42">
        <w:rPr>
          <w:rFonts w:cs="Arial"/>
          <w:color w:val="17406D" w:themeColor="text2"/>
          <w:szCs w:val="20"/>
        </w:rPr>
        <w:t>4.3.2 Managementul riscurilor de s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>n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Pr="00010A42">
        <w:rPr>
          <w:rFonts w:cs="Arial"/>
          <w:color w:val="17406D" w:themeColor="text2"/>
          <w:szCs w:val="20"/>
        </w:rPr>
        <w:t>tate aferente sta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iilor de lucru</w:t>
      </w:r>
      <w:bookmarkEnd w:id="27"/>
    </w:p>
    <w:p w:rsidR="001631A6" w:rsidRPr="00010A42" w:rsidRDefault="001631A6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La fiecare trei ani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atunci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nd apar schimb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 la locul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sau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ceea </w:t>
      </w:r>
      <w:proofErr w:type="gramStart"/>
      <w:r w:rsidRPr="00010A42">
        <w:rPr>
          <w:rFonts w:ascii="Arial" w:hAnsi="Arial" w:cs="Arial"/>
          <w:sz w:val="20"/>
          <w:szCs w:val="20"/>
        </w:rPr>
        <w:t>ce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prive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te produsele, fabrica Zentiva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ntocme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 o analiz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 riscurilor pentru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tate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apoi define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implementeaz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programele de prevenire a riscurilor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practicile de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tate ocupa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. Toate evalu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riscurilor sunt efectuate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echipe transversale, conduse de specialistul </w:t>
      </w:r>
      <w:r w:rsidR="007C7B63">
        <w:rPr>
          <w:rFonts w:ascii="Arial" w:hAnsi="Arial" w:cs="Arial"/>
          <w:sz w:val="20"/>
          <w:szCs w:val="20"/>
        </w:rPr>
        <w:t>EHS</w:t>
      </w:r>
      <w:r w:rsidRPr="00010A42">
        <w:rPr>
          <w:rFonts w:ascii="Arial" w:hAnsi="Arial" w:cs="Arial"/>
          <w:sz w:val="20"/>
          <w:szCs w:val="20"/>
        </w:rPr>
        <w:t xml:space="preserve"> din cadrul fabricii, 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turi de reprezentan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din zona evaluat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mpreun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cu medicul de medicina muncii.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Toate rezultatele sunt comunicate tuturor 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 implicate;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func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de rezultate, se elaboreaz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programe de reducere a riscurilor. Acestea includ,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principal,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suri de </w:t>
      </w:r>
      <w:r w:rsidR="007C7B63">
        <w:rPr>
          <w:rFonts w:ascii="Arial" w:hAnsi="Arial" w:cs="Arial"/>
          <w:sz w:val="20"/>
          <w:szCs w:val="20"/>
        </w:rPr>
        <w:t>tinere sub control</w:t>
      </w:r>
      <w:r w:rsidRPr="00010A42">
        <w:rPr>
          <w:rFonts w:ascii="Arial" w:hAnsi="Arial" w:cs="Arial"/>
          <w:sz w:val="20"/>
          <w:szCs w:val="20"/>
        </w:rPr>
        <w:t xml:space="preserve">, 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de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individual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colectiv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mpotriva expunerii</w:t>
      </w:r>
      <w:r w:rsidR="007C7B63">
        <w:rPr>
          <w:rFonts w:ascii="Arial" w:hAnsi="Arial" w:cs="Arial"/>
          <w:sz w:val="20"/>
          <w:szCs w:val="20"/>
        </w:rPr>
        <w:t>,</w:t>
      </w:r>
      <w:r w:rsidRPr="00010A42">
        <w:rPr>
          <w:rFonts w:ascii="Arial" w:hAnsi="Arial" w:cs="Arial"/>
          <w:sz w:val="20"/>
          <w:szCs w:val="20"/>
        </w:rPr>
        <w:t xml:space="preserve"> aplicabile tuturor sta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iilor de lucru unde se manipuleaz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substan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ele chimice.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nainte de a lua orice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sur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din zona expus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sunt implica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proiectarea solu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iei sau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alegerea echipamentului de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 pe care </w:t>
      </w:r>
      <w:proofErr w:type="gramStart"/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l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vor folosi.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De asemenea, se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soar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al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factori de risc asocia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cu aspecte precum zgomotul, vibra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ergonomia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se </w:t>
      </w:r>
      <w:proofErr w:type="gramStart"/>
      <w:r w:rsidRPr="00010A42">
        <w:rPr>
          <w:rFonts w:ascii="Arial" w:hAnsi="Arial" w:cs="Arial"/>
          <w:sz w:val="20"/>
          <w:szCs w:val="20"/>
        </w:rPr>
        <w:t>iau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suri adecvate pentru cazurile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care limitele sunt dep</w:t>
      </w:r>
      <w:r w:rsidR="001631A6" w:rsidRPr="00010A42">
        <w:rPr>
          <w:rFonts w:ascii="Arial" w:hAnsi="Arial" w:cs="Arial"/>
          <w:sz w:val="20"/>
          <w:szCs w:val="20"/>
        </w:rPr>
        <w:t>as</w:t>
      </w:r>
      <w:r w:rsidRPr="00010A42">
        <w:rPr>
          <w:rFonts w:ascii="Arial" w:hAnsi="Arial" w:cs="Arial"/>
          <w:sz w:val="20"/>
          <w:szCs w:val="20"/>
        </w:rPr>
        <w:t xml:space="preserve">ite. </w:t>
      </w:r>
      <w:r w:rsidR="007C7B63">
        <w:rPr>
          <w:rFonts w:ascii="Arial" w:hAnsi="Arial" w:cs="Arial"/>
          <w:sz w:val="20"/>
          <w:szCs w:val="20"/>
        </w:rPr>
        <w:t>P</w:t>
      </w:r>
      <w:r w:rsidRPr="00010A42">
        <w:rPr>
          <w:rFonts w:ascii="Arial" w:hAnsi="Arial" w:cs="Arial"/>
          <w:sz w:val="20"/>
          <w:szCs w:val="20"/>
        </w:rPr>
        <w:t>ersonalul</w:t>
      </w:r>
      <w:r w:rsidR="007C7B6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C7B63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monitoriza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cadrul programelor anuale de supraveghere medical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care se bazeaz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pe rezultatele evalu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rilor riscului profesional</w:t>
      </w:r>
      <w:r w:rsidR="001631A6" w:rsidRPr="00010A42">
        <w:rPr>
          <w:rFonts w:ascii="Arial" w:hAnsi="Arial" w:cs="Arial"/>
          <w:sz w:val="20"/>
          <w:szCs w:val="20"/>
        </w:rPr>
        <w:t xml:space="preserve"> asociat atributiilor acestora.</w:t>
      </w:r>
    </w:p>
    <w:p w:rsidR="001631A6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28" w:name="_Toc12461595"/>
      <w:r w:rsidRPr="00010A42">
        <w:rPr>
          <w:rFonts w:cs="Arial"/>
          <w:color w:val="17406D" w:themeColor="text2"/>
          <w:szCs w:val="20"/>
        </w:rPr>
        <w:t>4.3.3 Programele de prevenire a accidentelor de munc</w:t>
      </w:r>
      <w:r w:rsidR="001631A6" w:rsidRPr="00010A42">
        <w:rPr>
          <w:rFonts w:cs="Arial"/>
          <w:color w:val="17406D" w:themeColor="text2"/>
          <w:szCs w:val="20"/>
        </w:rPr>
        <w:t>a</w:t>
      </w:r>
      <w:bookmarkEnd w:id="28"/>
    </w:p>
    <w:p w:rsidR="001631A6" w:rsidRPr="00010A42" w:rsidRDefault="001631A6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Evalu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riscurilor proceselor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instala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iilor sunt efectuate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conformitate cu standardele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recomand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interne, care includ standardele </w:t>
      </w:r>
      <w:proofErr w:type="gramStart"/>
      <w:r w:rsidRPr="00010A42">
        <w:rPr>
          <w:rFonts w:ascii="Arial" w:hAnsi="Arial" w:cs="Arial"/>
          <w:sz w:val="20"/>
          <w:szCs w:val="20"/>
        </w:rPr>
        <w:t>interna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criterii de referin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pentru industrie. Se acord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o aten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deosebit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oric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ror schimb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 care genereaz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riscuri, cum ar fi modific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rile de proces sau ale instala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iilor, 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schimb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ceea </w:t>
      </w:r>
      <w:proofErr w:type="gramStart"/>
      <w:r w:rsidRPr="00010A42">
        <w:rPr>
          <w:rFonts w:ascii="Arial" w:hAnsi="Arial" w:cs="Arial"/>
          <w:sz w:val="20"/>
          <w:szCs w:val="20"/>
        </w:rPr>
        <w:t>ce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prive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 scara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transferurile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ntre 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 industriale sau de cercetare.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Fabrica Zentiva a implementat </w:t>
      </w: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sistem de raportare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timp real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situa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de urgen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care avertizeaz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conducerea imediat dup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ce a avut loc un accident. Informa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sunt transmise rapid la nivelurile de conducere, 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tre autorit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i. Respectivul accident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investigat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se efectueaz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o analiz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 cauzelor de baz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pentru a implementa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surile adecvate pentru sporirea siguran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ei la locul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Dup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fiecare incident de siguran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la nivel de unitate,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timpul sesiunilor specifice se emit comunic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 interne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acest sens.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raport cu indicatori este transmis lunar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tre management. </w:t>
      </w:r>
      <w:r w:rsidR="007C7B63">
        <w:rPr>
          <w:rFonts w:ascii="Arial" w:hAnsi="Arial" w:cs="Arial"/>
          <w:sz w:val="20"/>
          <w:szCs w:val="20"/>
        </w:rPr>
        <w:t>Deviatiile EHS</w:t>
      </w:r>
      <w:r w:rsidRPr="00010A42">
        <w:rPr>
          <w:rFonts w:ascii="Arial" w:hAnsi="Arial" w:cs="Arial"/>
          <w:sz w:val="20"/>
          <w:szCs w:val="20"/>
        </w:rPr>
        <w:t xml:space="preserve"> sunt monitorizate zilnic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cadrul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edin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elor conducerii, fiind urmate de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suri ulterioare corespunz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toare.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Pentru colectarea tuturor </w:t>
      </w:r>
      <w:r w:rsidR="007C7B63">
        <w:rPr>
          <w:rFonts w:ascii="Arial" w:hAnsi="Arial" w:cs="Arial"/>
          <w:sz w:val="20"/>
          <w:szCs w:val="20"/>
        </w:rPr>
        <w:t>deviatiilor EHS</w:t>
      </w:r>
      <w:r w:rsidRPr="00010A42">
        <w:rPr>
          <w:rFonts w:ascii="Arial" w:hAnsi="Arial" w:cs="Arial"/>
          <w:sz w:val="20"/>
          <w:szCs w:val="20"/>
        </w:rPr>
        <w:t xml:space="preserve">, a fost dezvoltat </w:t>
      </w: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instrument intern,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cadrul re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elei intranet locale, Toate </w:t>
      </w:r>
      <w:r w:rsidR="007C7B63">
        <w:rPr>
          <w:rFonts w:ascii="Arial" w:hAnsi="Arial" w:cs="Arial"/>
          <w:sz w:val="20"/>
          <w:szCs w:val="20"/>
        </w:rPr>
        <w:t>deviatiile</w:t>
      </w:r>
      <w:r w:rsidRPr="00010A42">
        <w:rPr>
          <w:rFonts w:ascii="Arial" w:hAnsi="Arial" w:cs="Arial"/>
          <w:sz w:val="20"/>
          <w:szCs w:val="20"/>
        </w:rPr>
        <w:t xml:space="preserve"> sunt monitorizate zilnic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timpul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edin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elor conducerii 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ii, fiind urmate de definirea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implementarea de 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suri corespunz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toare. </w:t>
      </w:r>
    </w:p>
    <w:p w:rsidR="0023453B" w:rsidRPr="00010A42" w:rsidRDefault="0023453B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23453B" w:rsidRPr="00010A42" w:rsidRDefault="0023453B" w:rsidP="0023453B">
      <w:pPr>
        <w:pStyle w:val="Heading1"/>
        <w:numPr>
          <w:ilvl w:val="0"/>
          <w:numId w:val="36"/>
        </w:numPr>
        <w:spacing w:before="0" w:after="0"/>
        <w:rPr>
          <w:rFonts w:cs="Arial"/>
          <w:color w:val="17406D" w:themeColor="text2"/>
          <w:szCs w:val="20"/>
        </w:rPr>
      </w:pPr>
      <w:bookmarkStart w:id="29" w:name="_Toc12461596"/>
      <w:r w:rsidRPr="00010A42">
        <w:rPr>
          <w:rFonts w:cs="Arial"/>
          <w:color w:val="17406D" w:themeColor="text2"/>
          <w:szCs w:val="20"/>
        </w:rPr>
        <w:lastRenderedPageBreak/>
        <w:t xml:space="preserve">Sustenabilitate si protectia mediului (Sanatate, siguranta si mediu - </w:t>
      </w:r>
      <w:r w:rsidR="007C7B63">
        <w:rPr>
          <w:rFonts w:cs="Arial"/>
          <w:color w:val="17406D" w:themeColor="text2"/>
          <w:szCs w:val="20"/>
        </w:rPr>
        <w:t>EHS</w:t>
      </w:r>
      <w:r w:rsidRPr="00010A42">
        <w:rPr>
          <w:rFonts w:cs="Arial"/>
          <w:color w:val="17406D" w:themeColor="text2"/>
          <w:szCs w:val="20"/>
        </w:rPr>
        <w:t>) (continuare)</w:t>
      </w:r>
      <w:bookmarkEnd w:id="29"/>
    </w:p>
    <w:p w:rsidR="001631A6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30" w:name="_Toc12461597"/>
      <w:r w:rsidRPr="00010A42">
        <w:rPr>
          <w:rFonts w:cs="Arial"/>
          <w:color w:val="17406D" w:themeColor="text2"/>
          <w:szCs w:val="20"/>
        </w:rPr>
        <w:t xml:space="preserve">4.3.4 </w:t>
      </w:r>
      <w:r w:rsidR="001631A6" w:rsidRPr="00010A42">
        <w:rPr>
          <w:rFonts w:cs="Arial"/>
          <w:color w:val="17406D" w:themeColor="text2"/>
          <w:szCs w:val="20"/>
        </w:rPr>
        <w:t>I</w:t>
      </w:r>
      <w:r w:rsidRPr="00010A42">
        <w:rPr>
          <w:rFonts w:cs="Arial"/>
          <w:color w:val="17406D" w:themeColor="text2"/>
          <w:szCs w:val="20"/>
        </w:rPr>
        <w:t>nv</w:t>
      </w:r>
      <w:r w:rsidR="001631A6" w:rsidRPr="00010A42">
        <w:rPr>
          <w:rFonts w:cs="Arial"/>
          <w:color w:val="17406D" w:themeColor="text2"/>
          <w:szCs w:val="20"/>
        </w:rPr>
        <w:t>at</w:t>
      </w:r>
      <w:r w:rsidRPr="00010A42">
        <w:rPr>
          <w:rFonts w:cs="Arial"/>
          <w:color w:val="17406D" w:themeColor="text2"/>
          <w:szCs w:val="20"/>
        </w:rPr>
        <w:t>area din experien</w:t>
      </w:r>
      <w:r w:rsidR="001631A6" w:rsidRPr="00010A42">
        <w:rPr>
          <w:rFonts w:cs="Arial"/>
          <w:color w:val="17406D" w:themeColor="text2"/>
          <w:szCs w:val="20"/>
        </w:rPr>
        <w:t>ta</w:t>
      </w:r>
      <w:r w:rsidR="00D6760E" w:rsidRPr="00010A42">
        <w:rPr>
          <w:rFonts w:cs="Arial"/>
          <w:color w:val="17406D" w:themeColor="text2"/>
          <w:szCs w:val="20"/>
        </w:rPr>
        <w:t xml:space="preserve"> (</w:t>
      </w:r>
      <w:proofErr w:type="gramStart"/>
      <w:r w:rsidR="00D6760E" w:rsidRPr="00010A42">
        <w:rPr>
          <w:rFonts w:cs="Arial"/>
          <w:color w:val="17406D" w:themeColor="text2"/>
          <w:szCs w:val="20"/>
        </w:rPr>
        <w:t>“ LEX</w:t>
      </w:r>
      <w:proofErr w:type="gramEnd"/>
      <w:r w:rsidR="00D6760E" w:rsidRPr="00010A42">
        <w:rPr>
          <w:rFonts w:cs="Arial"/>
          <w:color w:val="17406D" w:themeColor="text2"/>
          <w:szCs w:val="20"/>
        </w:rPr>
        <w:t>”)</w:t>
      </w:r>
      <w:bookmarkEnd w:id="30"/>
    </w:p>
    <w:p w:rsidR="001631A6" w:rsidRPr="00010A42" w:rsidRDefault="001631A6" w:rsidP="00AF1B8A">
      <w:pPr>
        <w:pStyle w:val="BodyText"/>
        <w:spacing w:after="0" w:line="240" w:lineRule="auto"/>
        <w:jc w:val="left"/>
        <w:rPr>
          <w:rFonts w:ascii="Arial" w:hAnsi="Arial" w:cs="Arial"/>
          <w:sz w:val="20"/>
          <w:szCs w:val="20"/>
          <w:lang w:val="ro-RO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Pentru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avea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mbun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iri suplimentare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materie de prevenire a accidentelor, am introdus un proces de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nv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are din experien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care vizeaz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atingerea urm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toarelor obiective: </w:t>
      </w: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4C49CE" wp14:editId="779A7CBB">
            <wp:extent cx="5925312" cy="2903855"/>
            <wp:effectExtent l="0" t="19050" r="0" b="2984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nv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>area din experien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 xml:space="preserve"> se bazeaz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pe o fi</w:t>
      </w:r>
      <w:r w:rsidRPr="00010A42">
        <w:rPr>
          <w:rFonts w:ascii="Arial" w:hAnsi="Arial" w:cs="Arial"/>
          <w:sz w:val="20"/>
          <w:szCs w:val="20"/>
        </w:rPr>
        <w:t>sa</w:t>
      </w:r>
      <w:r w:rsidR="00110299" w:rsidRPr="00010A42">
        <w:rPr>
          <w:rFonts w:ascii="Arial" w:hAnsi="Arial" w:cs="Arial"/>
          <w:sz w:val="20"/>
          <w:szCs w:val="20"/>
        </w:rPr>
        <w:t xml:space="preserve"> dedicat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de raportare (cunoscut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sub numele de LEX Alert), care con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ine o analiz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a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incidentului, a cauzelor imediate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a celor de baz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, precum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m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surile care trebuie implementate.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23453B">
      <w:pPr>
        <w:pStyle w:val="Heading1"/>
        <w:numPr>
          <w:ilvl w:val="0"/>
          <w:numId w:val="34"/>
        </w:numPr>
        <w:spacing w:before="0" w:after="0"/>
        <w:rPr>
          <w:rFonts w:cs="Arial"/>
          <w:color w:val="17406D" w:themeColor="text2"/>
          <w:szCs w:val="20"/>
        </w:rPr>
      </w:pPr>
      <w:bookmarkStart w:id="31" w:name="_Toc12461598"/>
      <w:r w:rsidRPr="00010A42">
        <w:rPr>
          <w:rFonts w:cs="Arial"/>
          <w:color w:val="17406D" w:themeColor="text2"/>
          <w:szCs w:val="20"/>
        </w:rPr>
        <w:t>Informa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ii privind protec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ia mediului</w:t>
      </w:r>
      <w:bookmarkEnd w:id="31"/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Am demarat o politic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ambi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ioas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limitare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impactului direct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indirect al opera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iunilor noastre asupra mediului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cadrul fiec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rei etape a ciclului de via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al produselor noastre. Am identificat cinci aspecte cheie de mediu asociate cu opera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iunile noastre: emisiile de gaze cu efect de ser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schimb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rile climatice; </w:t>
      </w:r>
      <w:proofErr w:type="gramStart"/>
      <w:r w:rsidRPr="00010A42">
        <w:rPr>
          <w:rFonts w:ascii="Arial" w:hAnsi="Arial" w:cs="Arial"/>
          <w:sz w:val="20"/>
          <w:szCs w:val="20"/>
        </w:rPr>
        <w:t>ap</w:t>
      </w:r>
      <w:r w:rsidR="001631A6"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; produse farmaceutice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mediu;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euri;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biodiversitatea.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Ini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iativele noastre curente sunt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curs de desf</w:t>
      </w:r>
      <w:r w:rsidR="001631A6" w:rsidRPr="00010A42">
        <w:rPr>
          <w:rFonts w:ascii="Arial" w:hAnsi="Arial" w:cs="Arial"/>
          <w:sz w:val="20"/>
          <w:szCs w:val="20"/>
        </w:rPr>
        <w:t>as</w:t>
      </w:r>
      <w:r w:rsidRPr="00010A42">
        <w:rPr>
          <w:rFonts w:ascii="Arial" w:hAnsi="Arial" w:cs="Arial"/>
          <w:sz w:val="20"/>
          <w:szCs w:val="20"/>
        </w:rPr>
        <w:t xml:space="preserve">urare, dar au primit </w:t>
      </w: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nou impuls prin programul nostru "Mobilizarea Planetei". </w:t>
      </w:r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Una dintre direc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importante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sporirea gradului de con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tientizare general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al tuturor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materie de mediu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mbun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irea comportamentului acestora prin intermediul campaniilor voluntare de mediu. </w:t>
      </w:r>
    </w:p>
    <w:p w:rsidR="00875ED9" w:rsidRPr="00010A42" w:rsidRDefault="00875ED9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875ED9" w:rsidRPr="00010A42" w:rsidRDefault="00875ED9" w:rsidP="00875ED9">
      <w:pPr>
        <w:pStyle w:val="Heading1"/>
        <w:numPr>
          <w:ilvl w:val="0"/>
          <w:numId w:val="38"/>
        </w:numPr>
        <w:spacing w:before="0" w:after="0"/>
        <w:rPr>
          <w:rFonts w:cs="Arial"/>
          <w:color w:val="17406D" w:themeColor="text2"/>
          <w:szCs w:val="20"/>
        </w:rPr>
      </w:pPr>
      <w:bookmarkStart w:id="32" w:name="_Toc12461599"/>
      <w:r w:rsidRPr="00010A42">
        <w:rPr>
          <w:rFonts w:cs="Arial"/>
          <w:color w:val="17406D" w:themeColor="text2"/>
          <w:szCs w:val="20"/>
        </w:rPr>
        <w:lastRenderedPageBreak/>
        <w:t>Informatii privind protectia mediului (continuare)</w:t>
      </w:r>
      <w:bookmarkEnd w:id="32"/>
    </w:p>
    <w:p w:rsidR="0023453B" w:rsidRPr="00010A42" w:rsidRDefault="0023453B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contextul cre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terii activit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 xml:space="preserve">ii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201</w:t>
      </w:r>
      <w:r w:rsidR="009976D0" w:rsidRPr="00010A42">
        <w:rPr>
          <w:rFonts w:ascii="Arial" w:hAnsi="Arial" w:cs="Arial"/>
          <w:sz w:val="20"/>
          <w:szCs w:val="20"/>
        </w:rPr>
        <w:t>8</w:t>
      </w:r>
      <w:r w:rsidR="00110299" w:rsidRPr="00010A42">
        <w:rPr>
          <w:rFonts w:ascii="Arial" w:hAnsi="Arial" w:cs="Arial"/>
          <w:sz w:val="20"/>
          <w:szCs w:val="20"/>
        </w:rPr>
        <w:t xml:space="preserve"> fa</w:t>
      </w:r>
      <w:r w:rsidRPr="00010A42">
        <w:rPr>
          <w:rFonts w:ascii="Arial" w:hAnsi="Arial" w:cs="Arial"/>
          <w:sz w:val="20"/>
          <w:szCs w:val="20"/>
        </w:rPr>
        <w:t>ta</w:t>
      </w:r>
      <w:r w:rsidR="00110299" w:rsidRPr="00010A42">
        <w:rPr>
          <w:rFonts w:ascii="Arial" w:hAnsi="Arial" w:cs="Arial"/>
          <w:sz w:val="20"/>
          <w:szCs w:val="20"/>
        </w:rPr>
        <w:t xml:space="preserve"> de 201</w:t>
      </w:r>
      <w:r w:rsidR="009976D0" w:rsidRPr="00010A42">
        <w:rPr>
          <w:rFonts w:ascii="Arial" w:hAnsi="Arial" w:cs="Arial"/>
          <w:sz w:val="20"/>
          <w:szCs w:val="20"/>
        </w:rPr>
        <w:t>7</w:t>
      </w:r>
      <w:r w:rsidR="00110299" w:rsidRPr="00010A42">
        <w:rPr>
          <w:rFonts w:ascii="Arial" w:hAnsi="Arial" w:cs="Arial"/>
          <w:sz w:val="20"/>
          <w:szCs w:val="20"/>
        </w:rPr>
        <w:t>, cifrele indic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o cre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tere a consumului de energie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i a amprentei de carbon, dar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o reducere semnificativ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aferent</w:t>
      </w:r>
      <w:r w:rsidRPr="00010A42">
        <w:rPr>
          <w:rFonts w:ascii="Arial" w:hAnsi="Arial" w:cs="Arial"/>
          <w:sz w:val="20"/>
          <w:szCs w:val="20"/>
        </w:rPr>
        <w:t>a</w:t>
      </w:r>
      <w:r w:rsidR="00D6760E" w:rsidRPr="00010A42">
        <w:rPr>
          <w:rFonts w:ascii="Arial" w:hAnsi="Arial" w:cs="Arial"/>
          <w:sz w:val="20"/>
          <w:szCs w:val="20"/>
        </w:rPr>
        <w:t xml:space="preserve"> UPS (</w:t>
      </w:r>
      <w:r w:rsidR="007C7B63">
        <w:rPr>
          <w:rFonts w:ascii="Arial" w:hAnsi="Arial" w:cs="Arial"/>
          <w:sz w:val="20"/>
          <w:szCs w:val="20"/>
        </w:rPr>
        <w:t>u</w:t>
      </w:r>
      <w:r w:rsidR="00110299" w:rsidRPr="00010A42">
        <w:rPr>
          <w:rFonts w:ascii="Arial" w:hAnsi="Arial" w:cs="Arial"/>
          <w:sz w:val="20"/>
          <w:szCs w:val="20"/>
        </w:rPr>
        <w:t>nitatea d</w:t>
      </w:r>
      <w:r w:rsidR="00D6760E" w:rsidRPr="00010A42">
        <w:rPr>
          <w:rFonts w:ascii="Arial" w:hAnsi="Arial" w:cs="Arial"/>
          <w:sz w:val="20"/>
          <w:szCs w:val="20"/>
        </w:rPr>
        <w:t xml:space="preserve">e </w:t>
      </w:r>
      <w:r w:rsidR="007C7B63">
        <w:rPr>
          <w:rFonts w:ascii="Arial" w:hAnsi="Arial" w:cs="Arial"/>
          <w:sz w:val="20"/>
          <w:szCs w:val="20"/>
        </w:rPr>
        <w:t>p</w:t>
      </w:r>
      <w:r w:rsidR="00110299" w:rsidRPr="00010A42">
        <w:rPr>
          <w:rFonts w:ascii="Arial" w:hAnsi="Arial" w:cs="Arial"/>
          <w:sz w:val="20"/>
          <w:szCs w:val="20"/>
        </w:rPr>
        <w:t>roduc</w:t>
      </w:r>
      <w:r w:rsidRPr="00010A42">
        <w:rPr>
          <w:rFonts w:ascii="Arial" w:hAnsi="Arial" w:cs="Arial"/>
          <w:sz w:val="20"/>
          <w:szCs w:val="20"/>
        </w:rPr>
        <w:t>t</w:t>
      </w:r>
      <w:r w:rsidR="00D6760E" w:rsidRPr="00010A42">
        <w:rPr>
          <w:rFonts w:ascii="Arial" w:hAnsi="Arial" w:cs="Arial"/>
          <w:sz w:val="20"/>
          <w:szCs w:val="20"/>
        </w:rPr>
        <w:t xml:space="preserve">ie </w:t>
      </w:r>
      <w:r w:rsidR="007C7B63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anofi). </w:t>
      </w:r>
      <w:r w:rsidR="009976D0" w:rsidRPr="00010A42">
        <w:rPr>
          <w:rFonts w:ascii="Arial" w:hAnsi="Arial" w:cs="Arial"/>
          <w:sz w:val="20"/>
          <w:szCs w:val="20"/>
        </w:rPr>
        <w:t>Amprenta de carbon aferenta 2018</w:t>
      </w:r>
      <w:r w:rsidR="00110299" w:rsidRPr="00010A42">
        <w:rPr>
          <w:rFonts w:ascii="Arial" w:hAnsi="Arial" w:cs="Arial"/>
          <w:sz w:val="20"/>
          <w:szCs w:val="20"/>
        </w:rPr>
        <w:t xml:space="preserve"> a fost:</w:t>
      </w:r>
    </w:p>
    <w:p w:rsidR="009976D0" w:rsidRPr="00010A42" w:rsidRDefault="009976D0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6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707"/>
        <w:gridCol w:w="1003"/>
        <w:gridCol w:w="988"/>
      </w:tblGrid>
      <w:tr w:rsidR="00875ED9" w:rsidRPr="00010A42" w:rsidTr="00875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pct"/>
            <w:shd w:val="clear" w:color="auto" w:fill="D1EDC8" w:themeFill="accent6" w:themeFillTint="33"/>
            <w:noWrap/>
          </w:tcPr>
          <w:p w:rsidR="009976D0" w:rsidRPr="00010A42" w:rsidRDefault="009976D0" w:rsidP="00AF1B8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D1EDC8" w:themeFill="accent6" w:themeFillTint="33"/>
            <w:noWrap/>
          </w:tcPr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D1EDC8" w:themeFill="accent6" w:themeFillTint="33"/>
            <w:noWrap/>
          </w:tcPr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010A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29" w:type="pct"/>
            <w:shd w:val="clear" w:color="auto" w:fill="D1EDC8" w:themeFill="accent6" w:themeFillTint="33"/>
          </w:tcPr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010A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875ED9" w:rsidRPr="00010A42" w:rsidTr="0087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pct"/>
            <w:shd w:val="clear" w:color="auto" w:fill="auto"/>
            <w:noWrap/>
          </w:tcPr>
          <w:p w:rsidR="00875ED9" w:rsidRPr="00010A42" w:rsidRDefault="00875ED9" w:rsidP="00AF1B8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875ED9" w:rsidRPr="00010A42" w:rsidRDefault="00875ED9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875ED9" w:rsidRPr="00010A42" w:rsidRDefault="00875ED9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75ED9" w:rsidRPr="00010A42" w:rsidRDefault="00875ED9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5ED9" w:rsidRPr="00010A42" w:rsidTr="00875ED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pct"/>
            <w:shd w:val="clear" w:color="auto" w:fill="D1EDC8" w:themeFill="accent6" w:themeFillTint="33"/>
            <w:noWrap/>
          </w:tcPr>
          <w:p w:rsidR="009976D0" w:rsidRPr="00010A42" w:rsidRDefault="009976D0" w:rsidP="00AF1B8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010A42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CO</w:t>
            </w:r>
            <w:r w:rsidRPr="00010A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auto" w:fill="D1EDC8" w:themeFill="accent6" w:themeFillTint="33"/>
            <w:noWrap/>
          </w:tcPr>
          <w:p w:rsidR="009976D0" w:rsidRPr="00010A42" w:rsidRDefault="009976D0" w:rsidP="00AF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0A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[t]</w:t>
            </w:r>
          </w:p>
        </w:tc>
        <w:tc>
          <w:tcPr>
            <w:tcW w:w="536" w:type="pct"/>
            <w:shd w:val="clear" w:color="auto" w:fill="D1EDC8" w:themeFill="accent6" w:themeFillTint="33"/>
            <w:noWrap/>
          </w:tcPr>
          <w:p w:rsidR="009976D0" w:rsidRPr="00010A42" w:rsidRDefault="009976D0" w:rsidP="00875E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0A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20.556</w:t>
            </w:r>
          </w:p>
        </w:tc>
        <w:tc>
          <w:tcPr>
            <w:tcW w:w="529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0A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20.780</w:t>
            </w:r>
          </w:p>
        </w:tc>
      </w:tr>
    </w:tbl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33" w:name="_Toc12461600"/>
      <w:r w:rsidRPr="00010A42">
        <w:rPr>
          <w:rFonts w:cs="Arial"/>
          <w:color w:val="17406D" w:themeColor="text2"/>
          <w:szCs w:val="20"/>
        </w:rPr>
        <w:t>5.</w:t>
      </w:r>
      <w:r w:rsidR="00A26AAA" w:rsidRPr="00010A42">
        <w:rPr>
          <w:rFonts w:cs="Arial"/>
          <w:color w:val="17406D" w:themeColor="text2"/>
          <w:szCs w:val="20"/>
        </w:rPr>
        <w:t>1</w:t>
      </w:r>
      <w:r w:rsidRPr="00010A42">
        <w:rPr>
          <w:rFonts w:cs="Arial"/>
          <w:color w:val="17406D" w:themeColor="text2"/>
          <w:szCs w:val="20"/>
        </w:rPr>
        <w:t xml:space="preserve"> Eficien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a energetic</w:t>
      </w:r>
      <w:r w:rsidR="001631A6" w:rsidRPr="00010A42">
        <w:rPr>
          <w:rFonts w:cs="Arial"/>
          <w:color w:val="17406D" w:themeColor="text2"/>
          <w:szCs w:val="20"/>
        </w:rPr>
        <w:t>a</w:t>
      </w:r>
      <w:bookmarkEnd w:id="33"/>
    </w:p>
    <w:p w:rsidR="00A26AAA" w:rsidRPr="00010A42" w:rsidRDefault="00A26AA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7C7B63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Compania</w:t>
      </w:r>
      <w:r w:rsidR="00110299" w:rsidRPr="00010A42">
        <w:rPr>
          <w:rFonts w:ascii="Arial" w:hAnsi="Arial" w:cs="Arial"/>
          <w:sz w:val="20"/>
          <w:szCs w:val="20"/>
        </w:rPr>
        <w:t xml:space="preserve"> noastr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a implementat un program de conservare a energiei, cu un accent deosebit pe sistemele de tratare a aerului care asigur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medii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ie de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nalt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calitate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interiorul cl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dirilor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ie, aceste sisteme fiind printre cei mai mari consumatori de energie. 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ncep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nd cu 2013,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 xml:space="preserve">n cadrul Zentiva a fost implementat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un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instrument de management al performan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ei energetice pentru a identifica posibilele reduceri ale consumului de energie. Zentiva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este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certificat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de Lloyd's Register Rom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nia din 2015 conform ISO 5001.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Abordarea noastr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materie de eficien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energetic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se extinde la toate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 noastre, inclusiv la parcurile noastre auto pentru reprezentan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medicali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la deciziile privind modul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care ne transport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 produsele.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6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9"/>
        <w:gridCol w:w="994"/>
        <w:gridCol w:w="992"/>
      </w:tblGrid>
      <w:tr w:rsidR="009F03A9" w:rsidRPr="00010A42" w:rsidTr="00875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center"/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</w:rPr>
            </w:pPr>
            <w:r w:rsidRPr="00010A42"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</w:rPr>
              <w:t>Consum de energie (MWh)</w:t>
            </w:r>
          </w:p>
        </w:tc>
        <w:tc>
          <w:tcPr>
            <w:tcW w:w="531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</w:rPr>
            </w:pPr>
            <w:r w:rsidRPr="00010A42"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</w:rPr>
              <w:t>2017</w:t>
            </w:r>
          </w:p>
        </w:tc>
        <w:tc>
          <w:tcPr>
            <w:tcW w:w="530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</w:rPr>
            </w:pPr>
            <w:r w:rsidRPr="00010A42"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  <w:lang w:val="fr-FR"/>
              </w:rPr>
              <w:t>2018</w:t>
            </w:r>
          </w:p>
        </w:tc>
      </w:tr>
      <w:tr w:rsidR="009F03A9" w:rsidRPr="00010A42" w:rsidTr="0087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  <w:shd w:val="clear" w:color="auto" w:fill="auto"/>
          </w:tcPr>
          <w:p w:rsidR="00875ED9" w:rsidRPr="00010A42" w:rsidRDefault="00875ED9" w:rsidP="00AF1B8A">
            <w:pPr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75ED9" w:rsidRPr="00010A42" w:rsidRDefault="00875ED9" w:rsidP="00AF1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875ED9" w:rsidRPr="00010A42" w:rsidRDefault="00875ED9" w:rsidP="00AF1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29531B" w:themeColor="accent6" w:themeShade="BF"/>
                <w:sz w:val="20"/>
                <w:szCs w:val="20"/>
                <w:lang w:val="fr-FR"/>
              </w:rPr>
            </w:pPr>
          </w:p>
        </w:tc>
      </w:tr>
      <w:tr w:rsidR="009F03A9" w:rsidRPr="00010A42" w:rsidTr="0087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  <w:shd w:val="clear" w:color="auto" w:fill="D1EDC8" w:themeFill="accent6" w:themeFillTint="33"/>
          </w:tcPr>
          <w:p w:rsidR="009976D0" w:rsidRPr="00010A42" w:rsidRDefault="009976D0" w:rsidP="00AF1B8A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Gaz natural</w:t>
            </w:r>
          </w:p>
        </w:tc>
        <w:tc>
          <w:tcPr>
            <w:tcW w:w="531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8.225</w:t>
            </w:r>
          </w:p>
        </w:tc>
        <w:tc>
          <w:tcPr>
            <w:tcW w:w="530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8.909</w:t>
            </w:r>
          </w:p>
        </w:tc>
      </w:tr>
      <w:tr w:rsidR="009F03A9" w:rsidRPr="00010A42" w:rsidTr="0087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  <w:shd w:val="clear" w:color="auto" w:fill="auto"/>
          </w:tcPr>
          <w:p w:rsidR="009976D0" w:rsidRPr="00010A42" w:rsidRDefault="009976D0" w:rsidP="00AF1B8A">
            <w:pPr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Curent electric</w:t>
            </w:r>
          </w:p>
        </w:tc>
        <w:tc>
          <w:tcPr>
            <w:tcW w:w="531" w:type="pct"/>
            <w:shd w:val="clear" w:color="auto" w:fill="auto"/>
          </w:tcPr>
          <w:p w:rsidR="009976D0" w:rsidRPr="00010A42" w:rsidRDefault="009976D0" w:rsidP="00875E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11.087</w:t>
            </w:r>
          </w:p>
        </w:tc>
        <w:tc>
          <w:tcPr>
            <w:tcW w:w="530" w:type="pct"/>
            <w:shd w:val="clear" w:color="auto" w:fill="auto"/>
          </w:tcPr>
          <w:p w:rsidR="009976D0" w:rsidRPr="00010A42" w:rsidRDefault="009976D0" w:rsidP="00875E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11.462</w:t>
            </w:r>
          </w:p>
        </w:tc>
      </w:tr>
      <w:tr w:rsidR="009F03A9" w:rsidRPr="00010A42" w:rsidTr="0087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  <w:shd w:val="clear" w:color="auto" w:fill="D1EDC8" w:themeFill="accent6" w:themeFillTint="33"/>
          </w:tcPr>
          <w:p w:rsidR="009976D0" w:rsidRPr="00010A42" w:rsidRDefault="009976D0" w:rsidP="00AF1B8A">
            <w:pPr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Altele (abur, fluide termice, apa de racire, aer comprimat)</w:t>
            </w:r>
          </w:p>
        </w:tc>
        <w:tc>
          <w:tcPr>
            <w:tcW w:w="531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8.147</w:t>
            </w:r>
          </w:p>
        </w:tc>
        <w:tc>
          <w:tcPr>
            <w:tcW w:w="530" w:type="pct"/>
            <w:shd w:val="clear" w:color="auto" w:fill="D1EDC8" w:themeFill="accent6" w:themeFillTint="33"/>
          </w:tcPr>
          <w:p w:rsidR="009976D0" w:rsidRPr="00010A42" w:rsidRDefault="009976D0" w:rsidP="00875E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7.388</w:t>
            </w:r>
          </w:p>
        </w:tc>
      </w:tr>
      <w:tr w:rsidR="009F03A9" w:rsidRPr="00010A42" w:rsidTr="0087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pct"/>
            <w:shd w:val="clear" w:color="auto" w:fill="auto"/>
          </w:tcPr>
          <w:p w:rsidR="009976D0" w:rsidRPr="00010A42" w:rsidRDefault="009976D0" w:rsidP="00AF1B8A">
            <w:pPr>
              <w:rPr>
                <w:rFonts w:ascii="Arial" w:hAnsi="Arial" w:cs="Arial"/>
                <w:color w:val="29531B" w:themeColor="accent6" w:themeShade="BF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29531B" w:themeColor="accent6" w:themeShade="BF"/>
                <w:sz w:val="20"/>
                <w:szCs w:val="20"/>
              </w:rPr>
              <w:t>Total</w:t>
            </w:r>
          </w:p>
        </w:tc>
        <w:tc>
          <w:tcPr>
            <w:tcW w:w="531" w:type="pct"/>
            <w:shd w:val="clear" w:color="auto" w:fill="auto"/>
          </w:tcPr>
          <w:p w:rsidR="009976D0" w:rsidRPr="00010A42" w:rsidRDefault="009976D0" w:rsidP="00875E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27.459</w:t>
            </w:r>
          </w:p>
        </w:tc>
        <w:tc>
          <w:tcPr>
            <w:tcW w:w="530" w:type="pct"/>
            <w:shd w:val="clear" w:color="auto" w:fill="auto"/>
          </w:tcPr>
          <w:p w:rsidR="009976D0" w:rsidRPr="00010A42" w:rsidRDefault="009976D0" w:rsidP="00875E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27.759</w:t>
            </w:r>
          </w:p>
        </w:tc>
      </w:tr>
    </w:tbl>
    <w:p w:rsidR="001631A6" w:rsidRPr="00010A42" w:rsidRDefault="001631A6" w:rsidP="00AF1B8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34" w:name="_Toc12461601"/>
      <w:r w:rsidRPr="00010A42">
        <w:rPr>
          <w:rFonts w:cs="Arial"/>
          <w:color w:val="17406D" w:themeColor="text2"/>
          <w:szCs w:val="20"/>
        </w:rPr>
        <w:t>5.</w:t>
      </w:r>
      <w:r w:rsidR="00A26AAA" w:rsidRPr="00010A42">
        <w:rPr>
          <w:rFonts w:cs="Arial"/>
          <w:color w:val="17406D" w:themeColor="text2"/>
          <w:szCs w:val="20"/>
        </w:rPr>
        <w:t>2</w:t>
      </w:r>
      <w:r w:rsidRPr="00010A42">
        <w:rPr>
          <w:rFonts w:cs="Arial"/>
          <w:color w:val="17406D" w:themeColor="text2"/>
          <w:szCs w:val="20"/>
        </w:rPr>
        <w:t xml:space="preserve"> Consumul de </w:t>
      </w:r>
      <w:proofErr w:type="gramStart"/>
      <w:r w:rsidRPr="00010A42">
        <w:rPr>
          <w:rFonts w:cs="Arial"/>
          <w:color w:val="17406D" w:themeColor="text2"/>
          <w:szCs w:val="20"/>
        </w:rPr>
        <w:t>ap</w:t>
      </w:r>
      <w:r w:rsidR="001631A6" w:rsidRPr="00010A42">
        <w:rPr>
          <w:rFonts w:cs="Arial"/>
          <w:color w:val="17406D" w:themeColor="text2"/>
          <w:szCs w:val="20"/>
        </w:rPr>
        <w:t>a</w:t>
      </w:r>
      <w:bookmarkEnd w:id="34"/>
      <w:proofErr w:type="gramEnd"/>
    </w:p>
    <w:p w:rsidR="00A26AAA" w:rsidRPr="00010A42" w:rsidRDefault="00A26AA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Ne angaj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m </w:t>
      </w:r>
      <w:proofErr w:type="gramStart"/>
      <w:r w:rsidRPr="00010A42">
        <w:rPr>
          <w:rFonts w:ascii="Arial" w:hAnsi="Arial" w:cs="Arial"/>
          <w:sz w:val="20"/>
          <w:szCs w:val="20"/>
        </w:rPr>
        <w:t>s</w:t>
      </w:r>
      <w:r w:rsidR="001631A6"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gestion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m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mod sustenabil resursele de ap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. Pentru a putea sus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ine acest angajament, fabrica Zentiva 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ntocmit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executat </w:t>
      </w: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plan de gestionare a resurselor de ap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.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0A42">
        <w:rPr>
          <w:rFonts w:ascii="Arial" w:hAnsi="Arial" w:cs="Arial"/>
          <w:sz w:val="20"/>
          <w:szCs w:val="20"/>
        </w:rPr>
        <w:t>Apa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utilizat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timpul procesului de fabrica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schimbul de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ldur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(r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cire pentru procese, f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contact cu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ia) este preluat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principal, din cursurile de ap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disponibile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din apele subterane. Avem implementate proceduri specifice de operare pentru gestionarea eficient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utiliz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rii apei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pentru reducerea consumului prin moderare.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5Dark-Accent11"/>
        <w:tblW w:w="500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6"/>
        <w:gridCol w:w="1019"/>
        <w:gridCol w:w="933"/>
        <w:gridCol w:w="918"/>
        <w:gridCol w:w="974"/>
        <w:gridCol w:w="980"/>
        <w:gridCol w:w="9"/>
      </w:tblGrid>
      <w:tr w:rsidR="009976D0" w:rsidRPr="00010A42" w:rsidTr="00875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noWrap/>
            <w:hideMark/>
          </w:tcPr>
          <w:p w:rsidR="009976D0" w:rsidRPr="00010A42" w:rsidRDefault="009976D0" w:rsidP="00407B2E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Apa</w:t>
            </w:r>
          </w:p>
        </w:tc>
        <w:tc>
          <w:tcPr>
            <w:tcW w:w="545" w:type="pct"/>
            <w:noWrap/>
            <w:hideMark/>
          </w:tcPr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[unitate]</w:t>
            </w:r>
          </w:p>
        </w:tc>
        <w:tc>
          <w:tcPr>
            <w:tcW w:w="990" w:type="pct"/>
            <w:gridSpan w:val="2"/>
            <w:hideMark/>
          </w:tcPr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0" w:type="pct"/>
            <w:gridSpan w:val="3"/>
          </w:tcPr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875ED9" w:rsidRPr="00010A42" w:rsidTr="007C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shd w:val="clear" w:color="auto" w:fill="BCDCF9" w:themeFill="accent1" w:themeFillTint="66"/>
            <w:noWrap/>
          </w:tcPr>
          <w:p w:rsidR="00875ED9" w:rsidRPr="00010A42" w:rsidRDefault="00875ED9" w:rsidP="00AF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noWrap/>
          </w:tcPr>
          <w:p w:rsidR="00875ED9" w:rsidRPr="00010A42" w:rsidRDefault="00875ED9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2"/>
          </w:tcPr>
          <w:p w:rsidR="00875ED9" w:rsidRPr="00010A42" w:rsidRDefault="00875ED9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gridSpan w:val="3"/>
          </w:tcPr>
          <w:p w:rsidR="00875ED9" w:rsidRPr="00010A42" w:rsidRDefault="00875ED9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9" w:rsidRPr="00010A42" w:rsidTr="007C1E85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shd w:val="clear" w:color="auto" w:fill="DDEDFC" w:themeFill="accent1" w:themeFillTint="33"/>
            <w:noWrap/>
            <w:hideMark/>
          </w:tcPr>
          <w:p w:rsidR="009976D0" w:rsidRPr="00010A42" w:rsidRDefault="009976D0" w:rsidP="00AF1B8A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010A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Apa din reteaua urbana</w:t>
            </w:r>
          </w:p>
        </w:tc>
        <w:tc>
          <w:tcPr>
            <w:tcW w:w="545" w:type="pct"/>
            <w:noWrap/>
            <w:hideMark/>
          </w:tcPr>
          <w:p w:rsidR="009976D0" w:rsidRPr="00010A42" w:rsidRDefault="009976D0" w:rsidP="00AF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[m3]</w:t>
            </w:r>
          </w:p>
        </w:tc>
        <w:tc>
          <w:tcPr>
            <w:tcW w:w="499" w:type="pct"/>
            <w:noWrap/>
            <w:hideMark/>
          </w:tcPr>
          <w:p w:rsidR="009976D0" w:rsidRPr="00010A42" w:rsidRDefault="009976D0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56.784</w:t>
            </w:r>
          </w:p>
        </w:tc>
        <w:tc>
          <w:tcPr>
            <w:tcW w:w="491" w:type="pct"/>
            <w:noWrap/>
            <w:hideMark/>
          </w:tcPr>
          <w:p w:rsidR="009976D0" w:rsidRPr="00010A42" w:rsidRDefault="009976D0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98,2%</w:t>
            </w:r>
          </w:p>
        </w:tc>
        <w:tc>
          <w:tcPr>
            <w:tcW w:w="521" w:type="pct"/>
          </w:tcPr>
          <w:p w:rsidR="009976D0" w:rsidRPr="00010A42" w:rsidRDefault="007C7B63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87,685</w:t>
            </w:r>
          </w:p>
        </w:tc>
        <w:tc>
          <w:tcPr>
            <w:tcW w:w="524" w:type="pct"/>
          </w:tcPr>
          <w:p w:rsidR="009976D0" w:rsidRPr="00010A42" w:rsidRDefault="007C7B63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98,96%</w:t>
            </w:r>
          </w:p>
        </w:tc>
      </w:tr>
      <w:tr w:rsidR="009F03A9" w:rsidRPr="00010A42" w:rsidTr="007C1E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shd w:val="clear" w:color="auto" w:fill="BCDCF9" w:themeFill="accent1" w:themeFillTint="66"/>
            <w:noWrap/>
            <w:hideMark/>
          </w:tcPr>
          <w:p w:rsidR="009976D0" w:rsidRPr="00010A42" w:rsidRDefault="009976D0" w:rsidP="00AF1B8A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010A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Apa subterana*</w:t>
            </w:r>
          </w:p>
        </w:tc>
        <w:tc>
          <w:tcPr>
            <w:tcW w:w="545" w:type="pct"/>
            <w:noWrap/>
            <w:hideMark/>
          </w:tcPr>
          <w:p w:rsidR="009976D0" w:rsidRPr="00010A42" w:rsidRDefault="009976D0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[m3]</w:t>
            </w:r>
          </w:p>
        </w:tc>
        <w:tc>
          <w:tcPr>
            <w:tcW w:w="499" w:type="pct"/>
            <w:noWrap/>
            <w:hideMark/>
          </w:tcPr>
          <w:p w:rsidR="009976D0" w:rsidRPr="00010A42" w:rsidRDefault="009976D0" w:rsidP="004E2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1.067</w:t>
            </w:r>
          </w:p>
        </w:tc>
        <w:tc>
          <w:tcPr>
            <w:tcW w:w="491" w:type="pct"/>
            <w:noWrap/>
            <w:hideMark/>
          </w:tcPr>
          <w:p w:rsidR="009976D0" w:rsidRPr="00010A42" w:rsidRDefault="009976D0" w:rsidP="004E2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1,8%</w:t>
            </w:r>
          </w:p>
        </w:tc>
        <w:tc>
          <w:tcPr>
            <w:tcW w:w="521" w:type="pct"/>
          </w:tcPr>
          <w:p w:rsidR="009976D0" w:rsidRPr="00010A42" w:rsidRDefault="007C7B63" w:rsidP="004E2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1,845</w:t>
            </w:r>
          </w:p>
        </w:tc>
        <w:tc>
          <w:tcPr>
            <w:tcW w:w="524" w:type="pct"/>
          </w:tcPr>
          <w:p w:rsidR="009976D0" w:rsidRPr="00010A42" w:rsidRDefault="007C7B63" w:rsidP="004E2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1,04%</w:t>
            </w:r>
          </w:p>
        </w:tc>
      </w:tr>
      <w:tr w:rsidR="009F03A9" w:rsidRPr="00010A42" w:rsidTr="007C1E85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shd w:val="clear" w:color="auto" w:fill="DDEDFC" w:themeFill="accent1" w:themeFillTint="33"/>
            <w:noWrap/>
            <w:hideMark/>
          </w:tcPr>
          <w:p w:rsidR="009976D0" w:rsidRPr="00010A42" w:rsidRDefault="009976D0" w:rsidP="00AF1B8A">
            <w:pP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010A42">
              <w:rPr>
                <w:rFonts w:ascii="Arial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45" w:type="pct"/>
            <w:noWrap/>
            <w:hideMark/>
          </w:tcPr>
          <w:p w:rsidR="009976D0" w:rsidRPr="00010A42" w:rsidRDefault="009976D0" w:rsidP="00AF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[m3]</w:t>
            </w:r>
          </w:p>
        </w:tc>
        <w:tc>
          <w:tcPr>
            <w:tcW w:w="499" w:type="pct"/>
            <w:noWrap/>
            <w:hideMark/>
          </w:tcPr>
          <w:p w:rsidR="009976D0" w:rsidRPr="00010A42" w:rsidRDefault="009976D0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57.851</w:t>
            </w:r>
          </w:p>
        </w:tc>
        <w:tc>
          <w:tcPr>
            <w:tcW w:w="491" w:type="pct"/>
            <w:noWrap/>
            <w:hideMark/>
          </w:tcPr>
          <w:p w:rsidR="009976D0" w:rsidRPr="00010A42" w:rsidRDefault="009976D0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10A4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521" w:type="pct"/>
          </w:tcPr>
          <w:p w:rsidR="009976D0" w:rsidRPr="00010A42" w:rsidRDefault="007C7B63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91,548</w:t>
            </w:r>
          </w:p>
        </w:tc>
        <w:tc>
          <w:tcPr>
            <w:tcW w:w="524" w:type="pct"/>
          </w:tcPr>
          <w:p w:rsidR="009976D0" w:rsidRPr="00010A42" w:rsidRDefault="007C7B63" w:rsidP="004E2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010A42">
        <w:rPr>
          <w:rFonts w:ascii="Arial" w:hAnsi="Arial" w:cs="Arial"/>
          <w:sz w:val="14"/>
          <w:szCs w:val="20"/>
        </w:rPr>
        <w:t>*nu intra in produs</w:t>
      </w:r>
    </w:p>
    <w:p w:rsidR="00875ED9" w:rsidRPr="00010A42" w:rsidRDefault="00875ED9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875ED9" w:rsidRPr="00010A42" w:rsidRDefault="00875ED9" w:rsidP="00875ED9">
      <w:pPr>
        <w:pStyle w:val="Heading1"/>
        <w:numPr>
          <w:ilvl w:val="0"/>
          <w:numId w:val="39"/>
        </w:numPr>
        <w:spacing w:before="0" w:after="0"/>
        <w:rPr>
          <w:rFonts w:cs="Arial"/>
          <w:color w:val="17406D" w:themeColor="text2"/>
          <w:szCs w:val="20"/>
        </w:rPr>
      </w:pPr>
      <w:bookmarkStart w:id="35" w:name="_Toc12461602"/>
      <w:r w:rsidRPr="00010A42">
        <w:rPr>
          <w:rFonts w:cs="Arial"/>
          <w:color w:val="17406D" w:themeColor="text2"/>
          <w:szCs w:val="20"/>
        </w:rPr>
        <w:lastRenderedPageBreak/>
        <w:t>Informatii privind protectia mediului (continuare)</w:t>
      </w:r>
      <w:bookmarkEnd w:id="35"/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A26AAA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36" w:name="_Toc12461603"/>
      <w:r w:rsidRPr="00010A42">
        <w:rPr>
          <w:rFonts w:cs="Arial"/>
          <w:color w:val="17406D" w:themeColor="text2"/>
          <w:szCs w:val="20"/>
        </w:rPr>
        <w:t>5.3</w:t>
      </w:r>
      <w:r w:rsidR="00110299" w:rsidRPr="00010A42">
        <w:rPr>
          <w:rFonts w:cs="Arial"/>
          <w:color w:val="17406D" w:themeColor="text2"/>
          <w:szCs w:val="20"/>
        </w:rPr>
        <w:t xml:space="preserve"> Gestionarea evacu</w:t>
      </w:r>
      <w:r w:rsidR="001631A6" w:rsidRPr="00010A42">
        <w:rPr>
          <w:rFonts w:cs="Arial"/>
          <w:color w:val="17406D" w:themeColor="text2"/>
          <w:szCs w:val="20"/>
        </w:rPr>
        <w:t>a</w:t>
      </w:r>
      <w:r w:rsidR="00110299" w:rsidRPr="00010A42">
        <w:rPr>
          <w:rFonts w:cs="Arial"/>
          <w:color w:val="17406D" w:themeColor="text2"/>
          <w:szCs w:val="20"/>
        </w:rPr>
        <w:t>rii apelor uzate</w:t>
      </w:r>
      <w:bookmarkEnd w:id="36"/>
      <w:r w:rsidR="00110299" w:rsidRPr="00010A42">
        <w:rPr>
          <w:rFonts w:cs="Arial"/>
          <w:color w:val="17406D" w:themeColor="text2"/>
          <w:szCs w:val="20"/>
        </w:rPr>
        <w:t xml:space="preserve"> </w:t>
      </w:r>
    </w:p>
    <w:p w:rsidR="00A26AAA" w:rsidRPr="00010A42" w:rsidRDefault="00A26AA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Una dintre priorit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ile fabricii Zentiva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</w:t>
      </w:r>
      <w:r w:rsidR="00FE6411">
        <w:rPr>
          <w:rFonts w:ascii="Arial" w:hAnsi="Arial" w:cs="Arial"/>
          <w:sz w:val="20"/>
          <w:szCs w:val="20"/>
        </w:rPr>
        <w:t>p</w:t>
      </w:r>
      <w:r w:rsidRPr="00010A42">
        <w:rPr>
          <w:rFonts w:ascii="Arial" w:hAnsi="Arial" w:cs="Arial"/>
          <w:sz w:val="20"/>
          <w:szCs w:val="20"/>
        </w:rPr>
        <w:t>revenirea polu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rii apei. Preocuparea principal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ceea </w:t>
      </w:r>
      <w:proofErr w:type="gramStart"/>
      <w:r w:rsidRPr="00010A42">
        <w:rPr>
          <w:rFonts w:ascii="Arial" w:hAnsi="Arial" w:cs="Arial"/>
          <w:sz w:val="20"/>
          <w:szCs w:val="20"/>
        </w:rPr>
        <w:t>ce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prive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 apa uzat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este reducerea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 mai mult posibil a poluan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 care ar putea intra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sistemul de ap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timpul procedurilor de cur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are. 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9976D0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Au </w:t>
      </w:r>
      <w:r w:rsidR="00110299" w:rsidRPr="00010A42">
        <w:rPr>
          <w:rFonts w:ascii="Arial" w:hAnsi="Arial" w:cs="Arial"/>
          <w:sz w:val="20"/>
          <w:szCs w:val="20"/>
        </w:rPr>
        <w:t>fost implementate mai multe mecanisme de control opera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ional, care s-au dovedit sigure, cel mai eficient fiind colectarea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 xml:space="preserve">eurilor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nainte de cur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 xml:space="preserve">area echipamentelor. 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Monitorizarea intern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efectuat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pt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nal, pe 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ng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analiza lunar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efectuat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laboratorul certificat RENAR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conformitate cu cerin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ele legale.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37" w:name="_Toc12461604"/>
      <w:r w:rsidRPr="00010A42">
        <w:rPr>
          <w:rFonts w:cs="Arial"/>
          <w:color w:val="17406D" w:themeColor="text2"/>
          <w:szCs w:val="20"/>
        </w:rPr>
        <w:t>5.</w:t>
      </w:r>
      <w:r w:rsidR="00A26AAA" w:rsidRPr="00010A42">
        <w:rPr>
          <w:rFonts w:cs="Arial"/>
          <w:color w:val="17406D" w:themeColor="text2"/>
          <w:szCs w:val="20"/>
        </w:rPr>
        <w:t>4</w:t>
      </w:r>
      <w:r w:rsidRPr="00010A42">
        <w:rPr>
          <w:rFonts w:cs="Arial"/>
          <w:color w:val="17406D" w:themeColor="text2"/>
          <w:szCs w:val="20"/>
        </w:rPr>
        <w:t xml:space="preserve"> De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euri</w:t>
      </w:r>
      <w:bookmarkEnd w:id="37"/>
    </w:p>
    <w:p w:rsidR="00A26AAA" w:rsidRPr="00010A42" w:rsidRDefault="00A26AA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Cheia politicii noastre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reducerea gener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rii de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euri la surs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urmat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o examinare sistematic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 posibilit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ilor de reciclare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nainte de eliminarea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eurilor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orice alt mod.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Inspirat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economia circular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, unitatea Zentiva </w:t>
      </w:r>
      <w:r w:rsidR="001631A6" w:rsidRPr="00010A42">
        <w:rPr>
          <w:rFonts w:ascii="Arial" w:hAnsi="Arial" w:cs="Arial"/>
          <w:sz w:val="20"/>
          <w:szCs w:val="20"/>
        </w:rPr>
        <w:t>is</w:t>
      </w:r>
      <w:r w:rsidRPr="00010A42">
        <w:rPr>
          <w:rFonts w:ascii="Arial" w:hAnsi="Arial" w:cs="Arial"/>
          <w:sz w:val="20"/>
          <w:szCs w:val="20"/>
        </w:rPr>
        <w:t>i gestioneaz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eurile pe baza urm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toarelor principii: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233E8B" wp14:editId="4FF9E5D4">
            <wp:extent cx="5937662" cy="1791970"/>
            <wp:effectExtent l="0" t="0" r="635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Programul nostru de gestionare a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eurilor include proceduri pentru identificarea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clasificarea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eurilor generate de fiecare proces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apoi colectarea, sortarea, depozitarea, transportul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tratarea corespunz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toare a fiec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rui tip de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euri.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plus, 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str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 o eviden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a tuturor documentelor de gestionare a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eurilor pentru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asigura trasabilitatea 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la tratamentul final. </w:t>
      </w:r>
    </w:p>
    <w:p w:rsidR="00875ED9" w:rsidRPr="00010A42" w:rsidRDefault="00875ED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eurile rezultate din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 nu sunt depozitate. </w:t>
      </w: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211"/>
        <w:tblW w:w="93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736"/>
        <w:gridCol w:w="1701"/>
        <w:gridCol w:w="1701"/>
        <w:gridCol w:w="1843"/>
      </w:tblGrid>
      <w:tr w:rsidR="009976D0" w:rsidRPr="00010A42" w:rsidTr="00407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DDDFA" w:themeFill="accent2" w:themeFillTint="33"/>
            <w:noWrap/>
            <w:hideMark/>
          </w:tcPr>
          <w:p w:rsidR="009976D0" w:rsidRPr="00010A42" w:rsidRDefault="009976D0" w:rsidP="00AF1B8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shd w:val="clear" w:color="auto" w:fill="BDDDFA" w:themeFill="accent2" w:themeFillTint="33"/>
            <w:noWrap/>
            <w:hideMark/>
          </w:tcPr>
          <w:p w:rsidR="00803DEC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Deseuri generate</w:t>
            </w:r>
          </w:p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1701" w:type="dxa"/>
            <w:shd w:val="clear" w:color="auto" w:fill="BDDDFA" w:themeFill="accent2" w:themeFillTint="33"/>
            <w:noWrap/>
            <w:hideMark/>
          </w:tcPr>
          <w:p w:rsidR="00803DEC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Deseuri reciclate</w:t>
            </w:r>
          </w:p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1701" w:type="dxa"/>
            <w:shd w:val="clear" w:color="auto" w:fill="BDDDFA" w:themeFill="accent2" w:themeFillTint="33"/>
          </w:tcPr>
          <w:p w:rsidR="00803DEC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Deseuri reciclate</w:t>
            </w:r>
          </w:p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843" w:type="dxa"/>
            <w:shd w:val="clear" w:color="auto" w:fill="BDDDFA" w:themeFill="accent2" w:themeFillTint="33"/>
            <w:noWrap/>
            <w:hideMark/>
          </w:tcPr>
          <w:p w:rsidR="00803DEC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Deseuri incinerate</w:t>
            </w:r>
          </w:p>
          <w:p w:rsidR="009976D0" w:rsidRPr="00010A42" w:rsidRDefault="009976D0" w:rsidP="00AF1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803DEC" w:rsidRPr="00010A42" w:rsidTr="0040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</w:tcPr>
          <w:p w:rsidR="00803DEC" w:rsidRPr="00010A42" w:rsidRDefault="00803DEC" w:rsidP="00AF1B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noWrap/>
          </w:tcPr>
          <w:p w:rsidR="00803DEC" w:rsidRPr="00010A42" w:rsidRDefault="00803DEC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03DEC" w:rsidRPr="00010A42" w:rsidRDefault="00803DEC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3DEC" w:rsidRPr="00010A42" w:rsidRDefault="00803DEC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DEC" w:rsidRPr="00010A42" w:rsidRDefault="00803DEC" w:rsidP="00AF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6D0" w:rsidRPr="00010A42" w:rsidTr="0040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DDDFA" w:themeFill="accent2" w:themeFillTint="33"/>
            <w:noWrap/>
            <w:hideMark/>
          </w:tcPr>
          <w:p w:rsidR="009976D0" w:rsidRPr="00010A42" w:rsidRDefault="009976D0" w:rsidP="00803DE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36" w:type="dxa"/>
            <w:shd w:val="clear" w:color="auto" w:fill="BDDDFA" w:themeFill="accent2" w:themeFillTint="33"/>
            <w:noWrap/>
            <w:hideMark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538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BDDDFA" w:themeFill="accent2" w:themeFillTint="33"/>
            <w:noWrap/>
            <w:hideMark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301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BDDDFA" w:themeFill="accent2" w:themeFillTint="33"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55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BDDDFA" w:themeFill="accent2" w:themeFillTint="33"/>
            <w:noWrap/>
            <w:hideMark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226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9976D0" w:rsidRPr="00010A42" w:rsidTr="0040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:rsidR="009976D0" w:rsidRPr="00010A42" w:rsidRDefault="009976D0" w:rsidP="00803DE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9976D0" w:rsidRPr="00010A42" w:rsidRDefault="009976D0" w:rsidP="00803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580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976D0" w:rsidRPr="00010A42" w:rsidRDefault="009976D0" w:rsidP="00803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eastAsiaTheme="minorHAnsi" w:hAnsi="Arial" w:cs="Arial"/>
                <w:sz w:val="20"/>
                <w:szCs w:val="20"/>
              </w:rPr>
              <w:t>325</w:t>
            </w:r>
            <w:r w:rsidR="000810BB" w:rsidRPr="00010A42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010A42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976D0" w:rsidRPr="00010A42" w:rsidRDefault="009976D0" w:rsidP="00803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55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76D0" w:rsidRPr="00010A42" w:rsidRDefault="009976D0" w:rsidP="00803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259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976D0" w:rsidRPr="00010A42" w:rsidTr="0040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DDDFA" w:themeFill="accent2" w:themeFillTint="33"/>
            <w:noWrap/>
          </w:tcPr>
          <w:p w:rsidR="009976D0" w:rsidRPr="00010A42" w:rsidRDefault="009976D0" w:rsidP="00803DEC">
            <w:pPr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36" w:type="dxa"/>
            <w:shd w:val="clear" w:color="auto" w:fill="BDDDFA" w:themeFill="accent2" w:themeFillTint="33"/>
            <w:noWrap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659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BDDDFA" w:themeFill="accent2" w:themeFillTint="33"/>
            <w:noWrap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010A42">
              <w:rPr>
                <w:rFonts w:ascii="Arial" w:eastAsiaTheme="minorHAnsi" w:hAnsi="Arial" w:cs="Arial"/>
                <w:sz w:val="20"/>
                <w:szCs w:val="20"/>
              </w:rPr>
              <w:t>383</w:t>
            </w:r>
            <w:r w:rsidR="000810BB" w:rsidRPr="00010A42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010A42">
              <w:rPr>
                <w:rFonts w:ascii="Arial" w:eastAsiaTheme="minorHAnsi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BDDDFA" w:themeFill="accent2" w:themeFillTint="33"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58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BDDDFA" w:themeFill="accent2" w:themeFillTint="33"/>
            <w:noWrap/>
          </w:tcPr>
          <w:p w:rsidR="009976D0" w:rsidRPr="00010A42" w:rsidRDefault="009976D0" w:rsidP="0080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A42">
              <w:rPr>
                <w:rFonts w:ascii="Arial" w:hAnsi="Arial" w:cs="Arial"/>
                <w:sz w:val="20"/>
                <w:szCs w:val="20"/>
              </w:rPr>
              <w:t>271</w:t>
            </w:r>
            <w:r w:rsidR="000810BB" w:rsidRPr="00010A42">
              <w:rPr>
                <w:rFonts w:ascii="Arial" w:hAnsi="Arial" w:cs="Arial"/>
                <w:sz w:val="20"/>
                <w:szCs w:val="20"/>
              </w:rPr>
              <w:t>,</w:t>
            </w:r>
            <w:r w:rsidRPr="00010A4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9976D0" w:rsidRPr="00010A42" w:rsidRDefault="009976D0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6D0" w:rsidRPr="00010A42" w:rsidRDefault="009976D0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DEC" w:rsidRPr="00010A42" w:rsidRDefault="00110299" w:rsidP="00803DEC">
      <w:pPr>
        <w:spacing w:after="0" w:line="240" w:lineRule="auto"/>
      </w:pPr>
      <w:r w:rsidRPr="00010A42">
        <w:rPr>
          <w:rFonts w:ascii="Arial" w:hAnsi="Arial" w:cs="Arial"/>
          <w:sz w:val="20"/>
          <w:szCs w:val="20"/>
        </w:rPr>
        <w:t>Specific pentru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farmaceutice, 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 de tratare a aerului sunt proiectate pentru a men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ine </w:t>
      </w: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mediu controlat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curat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interiorul 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ii, 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exterior cu ajutorul unor bariere tehnice de filtrare. </w:t>
      </w:r>
      <w:r w:rsidR="00803DEC" w:rsidRPr="00010A42">
        <w:br w:type="page"/>
      </w:r>
    </w:p>
    <w:p w:rsidR="00803DEC" w:rsidRPr="00010A42" w:rsidRDefault="00803DEC" w:rsidP="00803DEC">
      <w:pPr>
        <w:pStyle w:val="Heading1"/>
        <w:numPr>
          <w:ilvl w:val="0"/>
          <w:numId w:val="40"/>
        </w:numPr>
        <w:spacing w:before="0" w:after="0"/>
        <w:rPr>
          <w:rFonts w:cs="Arial"/>
          <w:color w:val="17406D" w:themeColor="text2"/>
          <w:szCs w:val="20"/>
        </w:rPr>
      </w:pPr>
      <w:bookmarkStart w:id="38" w:name="_Toc12461605"/>
      <w:r w:rsidRPr="00010A42">
        <w:rPr>
          <w:rFonts w:cs="Arial"/>
          <w:color w:val="17406D" w:themeColor="text2"/>
          <w:szCs w:val="20"/>
        </w:rPr>
        <w:lastRenderedPageBreak/>
        <w:t>Informatii privind protectia mediului (continuare)</w:t>
      </w:r>
      <w:bookmarkEnd w:id="38"/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Zonele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sunt prev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zute cu sisteme profesionale non-stop de epurare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aerului, cu filtre pentru reciclarea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evacuarea aerului. </w:t>
      </w: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AAA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Eficien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a sistemelor de filtrare a aerului atinge un grad de re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inere de 0,995% pentru particule mai mari de 0</w:t>
      </w:r>
      <w:proofErr w:type="gramStart"/>
      <w:r w:rsidRPr="00010A42">
        <w:rPr>
          <w:rFonts w:ascii="Arial" w:hAnsi="Arial" w:cs="Arial"/>
          <w:sz w:val="20"/>
          <w:szCs w:val="20"/>
        </w:rPr>
        <w:t>,3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μm. Acest nivel de filtrare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configurat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conformitate cu sistemele de produc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standardele GMP pentru industria farmaceutic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asigur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protec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 mediului. </w:t>
      </w: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A26AAA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39" w:name="_Toc12461606"/>
      <w:r w:rsidRPr="00010A42">
        <w:rPr>
          <w:rFonts w:cs="Arial"/>
          <w:color w:val="17406D" w:themeColor="text2"/>
          <w:szCs w:val="20"/>
        </w:rPr>
        <w:t>5.5</w:t>
      </w:r>
      <w:r w:rsidR="00110299" w:rsidRPr="00010A42">
        <w:rPr>
          <w:rFonts w:cs="Arial"/>
          <w:color w:val="17406D" w:themeColor="text2"/>
          <w:szCs w:val="20"/>
        </w:rPr>
        <w:t xml:space="preserve"> Angajamentul fa</w:t>
      </w:r>
      <w:r w:rsidR="001631A6" w:rsidRPr="00010A42">
        <w:rPr>
          <w:rFonts w:cs="Arial"/>
          <w:color w:val="17406D" w:themeColor="text2"/>
          <w:szCs w:val="20"/>
        </w:rPr>
        <w:t>ta</w:t>
      </w:r>
      <w:r w:rsidR="00110299" w:rsidRPr="00010A42">
        <w:rPr>
          <w:rFonts w:cs="Arial"/>
          <w:color w:val="17406D" w:themeColor="text2"/>
          <w:szCs w:val="20"/>
        </w:rPr>
        <w:t xml:space="preserve"> de reducerea de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="00110299" w:rsidRPr="00010A42">
        <w:rPr>
          <w:rFonts w:cs="Arial"/>
          <w:color w:val="17406D" w:themeColor="text2"/>
          <w:szCs w:val="20"/>
        </w:rPr>
        <w:t>eurilor alimentare</w:t>
      </w:r>
      <w:bookmarkEnd w:id="39"/>
    </w:p>
    <w:p w:rsidR="00A26AAA" w:rsidRPr="00010A42" w:rsidRDefault="00A26AAA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La cantina 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ii se promoveaz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reducerea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eurilor alimentare prin recuperarea resturilor de legume pentru reutilizare a doua zi, prin introducerea co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urilor de gunoi de </w:t>
      </w:r>
      <w:r w:rsidR="009976D0" w:rsidRPr="00010A42">
        <w:rPr>
          <w:rFonts w:ascii="Arial" w:hAnsi="Arial" w:cs="Arial"/>
          <w:sz w:val="20"/>
          <w:szCs w:val="20"/>
        </w:rPr>
        <w:t>colectare selectiva</w:t>
      </w:r>
      <w:r w:rsidRPr="00010A42">
        <w:rPr>
          <w:rFonts w:ascii="Arial" w:hAnsi="Arial" w:cs="Arial"/>
          <w:sz w:val="20"/>
          <w:szCs w:val="20"/>
        </w:rPr>
        <w:t xml:space="preserve"> pentru a facilita reciclarea de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eurilor</w:t>
      </w:r>
      <w:r w:rsidR="009976D0" w:rsidRPr="00010A42">
        <w:rPr>
          <w:rFonts w:ascii="Arial" w:hAnsi="Arial" w:cs="Arial"/>
          <w:sz w:val="20"/>
          <w:szCs w:val="20"/>
        </w:rPr>
        <w:t>.</w:t>
      </w: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803DEC">
      <w:pPr>
        <w:pStyle w:val="Heading1"/>
        <w:numPr>
          <w:ilvl w:val="0"/>
          <w:numId w:val="40"/>
        </w:numPr>
        <w:spacing w:before="0" w:after="0"/>
        <w:rPr>
          <w:rFonts w:cs="Arial"/>
          <w:color w:val="17406D" w:themeColor="text2"/>
          <w:szCs w:val="20"/>
        </w:rPr>
      </w:pPr>
      <w:bookmarkStart w:id="40" w:name="_Toc12461607"/>
      <w:r w:rsidRPr="00010A42">
        <w:rPr>
          <w:rFonts w:cs="Arial"/>
          <w:color w:val="17406D" w:themeColor="text2"/>
          <w:szCs w:val="20"/>
        </w:rPr>
        <w:t xml:space="preserve">Angajamente sociale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Pr="00010A42">
        <w:rPr>
          <w:rFonts w:cs="Arial"/>
          <w:color w:val="17406D" w:themeColor="text2"/>
          <w:szCs w:val="20"/>
        </w:rPr>
        <w:t>i diversitate</w:t>
      </w:r>
      <w:bookmarkEnd w:id="40"/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41" w:name="_Toc12461608"/>
      <w:r w:rsidRPr="00010A42">
        <w:rPr>
          <w:rFonts w:cs="Arial"/>
          <w:color w:val="17406D" w:themeColor="text2"/>
          <w:szCs w:val="20"/>
        </w:rPr>
        <w:t>6.1 Ini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iative de sprijin pentru drepturile omului</w:t>
      </w:r>
      <w:bookmarkEnd w:id="41"/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Zentiva, sus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ine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aplic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principiile directoare ale Organiza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iei 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iunilor Unite privind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ntreprinderilor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drepturile omului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adoptat de mai mul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ani o abordare pro-activ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vigilen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pentru a preveni impactul negativ al activit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ilor noastre asupra drepturilor omului. Principalele noastre ini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iative sunt urm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toarele:</w:t>
      </w:r>
    </w:p>
    <w:p w:rsidR="00110299" w:rsidRPr="00010A42" w:rsidRDefault="00110299" w:rsidP="00803DE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libertatea de asociere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recunoa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terea dreptului la negociere colectiv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(Conven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OIM 87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98); eliminarea tuturor formelor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for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(Conven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OIM 29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105); </w:t>
      </w:r>
    </w:p>
    <w:p w:rsidR="00110299" w:rsidRPr="00010A42" w:rsidRDefault="00110299" w:rsidP="00803DE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eliminarea activ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 muncii copiilor (Conven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OIM 138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182); </w:t>
      </w:r>
    </w:p>
    <w:p w:rsidR="00110299" w:rsidRPr="00010A42" w:rsidRDefault="00110299" w:rsidP="00803DE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eliminarea discrimin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rii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domeniul ocup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rii for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ei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(Conven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OIM 100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111);</w:t>
      </w:r>
    </w:p>
    <w:p w:rsidR="00110299" w:rsidRPr="00010A42" w:rsidRDefault="00110299" w:rsidP="00803DE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ini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iative privind salariile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beneficiile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ilor (Conven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OIM 95, 131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135);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</w:t>
      </w:r>
    </w:p>
    <w:p w:rsidR="00110299" w:rsidRPr="00010A42" w:rsidRDefault="00110299" w:rsidP="00803DE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proofErr w:type="gramStart"/>
      <w:r w:rsidRPr="00010A42">
        <w:rPr>
          <w:rFonts w:ascii="Arial" w:hAnsi="Arial" w:cs="Arial"/>
          <w:sz w:val="20"/>
          <w:szCs w:val="20"/>
        </w:rPr>
        <w:t>ini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iative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privind repausul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pt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nal (Conven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OIM 14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106).</w:t>
      </w: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Heading2"/>
        <w:spacing w:before="0"/>
        <w:rPr>
          <w:rFonts w:cs="Arial"/>
          <w:color w:val="17406D" w:themeColor="text2"/>
          <w:szCs w:val="20"/>
        </w:rPr>
      </w:pPr>
      <w:bookmarkStart w:id="42" w:name="_Toc12461609"/>
      <w:r w:rsidRPr="00010A42">
        <w:rPr>
          <w:rFonts w:cs="Arial"/>
          <w:color w:val="17406D" w:themeColor="text2"/>
          <w:szCs w:val="20"/>
        </w:rPr>
        <w:t>6.2 Angaja</w:t>
      </w:r>
      <w:r w:rsidR="001631A6" w:rsidRPr="00010A42">
        <w:rPr>
          <w:rFonts w:cs="Arial"/>
          <w:color w:val="17406D" w:themeColor="text2"/>
          <w:szCs w:val="20"/>
        </w:rPr>
        <w:t>t</w:t>
      </w:r>
      <w:r w:rsidRPr="00010A42">
        <w:rPr>
          <w:rFonts w:cs="Arial"/>
          <w:color w:val="17406D" w:themeColor="text2"/>
          <w:szCs w:val="20"/>
        </w:rPr>
        <w:t>ii</w:t>
      </w:r>
      <w:bookmarkEnd w:id="42"/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au dreptul de a fi informa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consulta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mod constant, conform prevederilor din Regulamentul intern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din contractul colectiv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.</w:t>
      </w:r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3729" w:rsidRPr="00010A42" w:rsidRDefault="00110299" w:rsidP="00AF1B8A">
      <w:pPr>
        <w:pStyle w:val="CommentText"/>
        <w:spacing w:after="0" w:line="240" w:lineRule="auto"/>
        <w:rPr>
          <w:rFonts w:ascii="Arial" w:hAnsi="Arial" w:cs="Arial"/>
        </w:rPr>
      </w:pPr>
      <w:r w:rsidRPr="00010A42">
        <w:rPr>
          <w:rFonts w:ascii="Arial" w:hAnsi="Arial" w:cs="Arial"/>
        </w:rPr>
        <w:t>Angaja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ii sunt informa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 xml:space="preserve">i la angajare, </w:t>
      </w:r>
      <w:r w:rsidR="001631A6" w:rsidRPr="00010A42">
        <w:rPr>
          <w:rFonts w:ascii="Arial" w:hAnsi="Arial" w:cs="Arial"/>
        </w:rPr>
        <w:t>i</w:t>
      </w:r>
      <w:r w:rsidRPr="00010A42">
        <w:rPr>
          <w:rFonts w:ascii="Arial" w:hAnsi="Arial" w:cs="Arial"/>
        </w:rPr>
        <w:t>n timpul zilei de ini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 xml:space="preserve">iere, despre toate procedurile 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 xml:space="preserve">i normele interne </w:t>
      </w:r>
      <w:r w:rsidR="001631A6" w:rsidRPr="00010A42">
        <w:rPr>
          <w:rFonts w:ascii="Arial" w:hAnsi="Arial" w:cs="Arial"/>
        </w:rPr>
        <w:t>i</w:t>
      </w:r>
      <w:r w:rsidRPr="00010A42">
        <w:rPr>
          <w:rFonts w:ascii="Arial" w:hAnsi="Arial" w:cs="Arial"/>
        </w:rPr>
        <w:t>n vigoare; ace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tia sunt informa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 xml:space="preserve">i 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i despre orice actualizare</w:t>
      </w:r>
      <w:r w:rsidR="00803DEC" w:rsidRPr="00010A42">
        <w:rPr>
          <w:rFonts w:ascii="Arial" w:hAnsi="Arial" w:cs="Arial"/>
        </w:rPr>
        <w:t xml:space="preserve"> </w:t>
      </w:r>
      <w:r w:rsidRPr="00010A42">
        <w:rPr>
          <w:rFonts w:ascii="Arial" w:hAnsi="Arial" w:cs="Arial"/>
        </w:rPr>
        <w:t>/</w:t>
      </w:r>
      <w:r w:rsidR="00803DEC" w:rsidRPr="00010A42">
        <w:rPr>
          <w:rFonts w:ascii="Arial" w:hAnsi="Arial" w:cs="Arial"/>
        </w:rPr>
        <w:t xml:space="preserve"> </w:t>
      </w:r>
      <w:r w:rsidRPr="00010A42">
        <w:rPr>
          <w:rFonts w:ascii="Arial" w:hAnsi="Arial" w:cs="Arial"/>
        </w:rPr>
        <w:t>modificare relevant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>; toate procedurile sunt disponibile angaja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ilor pe re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eaua Intranet local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>.</w:t>
      </w:r>
    </w:p>
    <w:p w:rsidR="00DB0A75" w:rsidRPr="00010A42" w:rsidRDefault="00DB0A75" w:rsidP="00AF1B8A">
      <w:pPr>
        <w:pStyle w:val="CommentText"/>
        <w:spacing w:after="0" w:line="240" w:lineRule="auto"/>
        <w:rPr>
          <w:rFonts w:ascii="Arial" w:hAnsi="Arial" w:cs="Arial"/>
        </w:rPr>
      </w:pPr>
    </w:p>
    <w:p w:rsidR="00110299" w:rsidRPr="00010A42" w:rsidRDefault="00803DEC" w:rsidP="00803DEC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43" w:name="_Toc12461610"/>
      <w:r w:rsidRPr="00010A42">
        <w:rPr>
          <w:rFonts w:cs="Arial"/>
          <w:color w:val="17406D" w:themeColor="text2"/>
          <w:szCs w:val="20"/>
        </w:rPr>
        <w:t xml:space="preserve">6.2.1 </w:t>
      </w:r>
      <w:r w:rsidR="00110299" w:rsidRPr="00010A42">
        <w:rPr>
          <w:rFonts w:cs="Arial"/>
          <w:color w:val="17406D" w:themeColor="text2"/>
          <w:szCs w:val="20"/>
        </w:rPr>
        <w:t>Nediscriminare</w:t>
      </w:r>
      <w:bookmarkEnd w:id="43"/>
      <w:r w:rsidR="00110299" w:rsidRPr="00010A42">
        <w:rPr>
          <w:rFonts w:cs="Arial"/>
          <w:color w:val="17406D" w:themeColor="text2"/>
          <w:szCs w:val="20"/>
        </w:rPr>
        <w:t xml:space="preserve"> </w:t>
      </w:r>
    </w:p>
    <w:p w:rsidR="00733729" w:rsidRPr="00010A42" w:rsidRDefault="0073372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Zentiva depune eforturi </w:t>
      </w:r>
      <w:proofErr w:type="gramStart"/>
      <w:r w:rsidRPr="00010A42">
        <w:rPr>
          <w:rFonts w:ascii="Arial" w:hAnsi="Arial" w:cs="Arial"/>
          <w:sz w:val="20"/>
          <w:szCs w:val="20"/>
        </w:rPr>
        <w:t>s</w:t>
      </w:r>
      <w:r w:rsidR="001631A6"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evite orice fel de discriminare (de exemplu, pe baza sexului)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ceea ce prive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 remunera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oferit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pentru o anumit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pozi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la niveluri echivalente de performan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individual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. </w:t>
      </w:r>
    </w:p>
    <w:p w:rsidR="009F03A9" w:rsidRPr="00010A42" w:rsidRDefault="009F03A9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9F03A9" w:rsidRPr="00010A42" w:rsidRDefault="009F03A9" w:rsidP="009F03A9">
      <w:pPr>
        <w:pStyle w:val="Heading1"/>
        <w:numPr>
          <w:ilvl w:val="0"/>
          <w:numId w:val="42"/>
        </w:numPr>
        <w:spacing w:before="0" w:after="0"/>
        <w:rPr>
          <w:rFonts w:cs="Arial"/>
          <w:color w:val="17406D" w:themeColor="text2"/>
          <w:szCs w:val="20"/>
        </w:rPr>
      </w:pPr>
      <w:bookmarkStart w:id="44" w:name="_Toc12461611"/>
      <w:r w:rsidRPr="00010A42">
        <w:rPr>
          <w:rFonts w:cs="Arial"/>
          <w:color w:val="17406D" w:themeColor="text2"/>
          <w:szCs w:val="20"/>
        </w:rPr>
        <w:lastRenderedPageBreak/>
        <w:t>Angajamente sociale si diversitate (continuare)</w:t>
      </w:r>
      <w:bookmarkEnd w:id="44"/>
    </w:p>
    <w:p w:rsidR="00803DEC" w:rsidRPr="00010A42" w:rsidRDefault="00803DE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803DEC" w:rsidP="00803DEC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45" w:name="_Toc12461612"/>
      <w:r w:rsidRPr="00010A42">
        <w:rPr>
          <w:rFonts w:cs="Arial"/>
          <w:color w:val="17406D" w:themeColor="text2"/>
          <w:szCs w:val="20"/>
        </w:rPr>
        <w:t xml:space="preserve">6.2.2 </w:t>
      </w:r>
      <w:r w:rsidR="00110299" w:rsidRPr="00010A42">
        <w:rPr>
          <w:rFonts w:cs="Arial"/>
          <w:color w:val="17406D" w:themeColor="text2"/>
          <w:szCs w:val="20"/>
        </w:rPr>
        <w:t>Beneficiile angajatului</w:t>
      </w:r>
      <w:bookmarkEnd w:id="45"/>
    </w:p>
    <w:p w:rsidR="00733729" w:rsidRPr="00010A42" w:rsidRDefault="0073372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Ne str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duim </w:t>
      </w:r>
      <w:proofErr w:type="gramStart"/>
      <w:r w:rsidRPr="00010A42">
        <w:rPr>
          <w:rFonts w:ascii="Arial" w:hAnsi="Arial" w:cs="Arial"/>
          <w:sz w:val="20"/>
          <w:szCs w:val="20"/>
        </w:rPr>
        <w:t>s</w:t>
      </w:r>
      <w:r w:rsidR="001631A6"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ne asigur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to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no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tri primesc beneficii de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nalt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calitate care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acopere asigurarea de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tate, pensia pentru limit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v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rst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indemniza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pentru incapacitate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, pentru cazurile de invaliditate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deces. Aceste beneficii respect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reglement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rile 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ionale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ofer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acoperirea care 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spunde cel mai bine nevoilor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general,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(precum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general, so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copiii acestora) beneficiaz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010A42">
        <w:rPr>
          <w:rFonts w:ascii="Arial" w:hAnsi="Arial" w:cs="Arial"/>
          <w:sz w:val="20"/>
          <w:szCs w:val="20"/>
        </w:rPr>
        <w:t>un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nivel bun de rambursare a cheltuielilor medicale, precum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de ajutoare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caz de deces. Beneficiile pot, de asemenea, </w:t>
      </w:r>
      <w:proofErr w:type="gramStart"/>
      <w:r w:rsidRPr="00010A42">
        <w:rPr>
          <w:rFonts w:ascii="Arial" w:hAnsi="Arial" w:cs="Arial"/>
          <w:sz w:val="20"/>
          <w:szCs w:val="20"/>
        </w:rPr>
        <w:t>s</w:t>
      </w:r>
      <w:r w:rsidR="001631A6"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acopere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situa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iile de incapacitate temporar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sau permanent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de la caz la caz.</w:t>
      </w:r>
      <w:r w:rsidR="00387F9C" w:rsidRPr="00010A42">
        <w:rPr>
          <w:rFonts w:ascii="Arial" w:hAnsi="Arial" w:cs="Arial"/>
          <w:noProof/>
          <w:sz w:val="20"/>
          <w:szCs w:val="20"/>
        </w:rPr>
        <w:t xml:space="preserve"> </w:t>
      </w:r>
    </w:p>
    <w:p w:rsidR="009F03A9" w:rsidRPr="00010A42" w:rsidRDefault="009F03A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7F9C" w:rsidRPr="00010A42" w:rsidRDefault="00387F9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7F9C" w:rsidRPr="00010A42" w:rsidRDefault="005B2B87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CD3E3" wp14:editId="06FA236D">
                <wp:simplePos x="0" y="0"/>
                <wp:positionH relativeFrom="column">
                  <wp:posOffset>674370</wp:posOffset>
                </wp:positionH>
                <wp:positionV relativeFrom="paragraph">
                  <wp:posOffset>161925</wp:posOffset>
                </wp:positionV>
                <wp:extent cx="45910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60" w:rsidRPr="00430457" w:rsidRDefault="00CE2E60" w:rsidP="00110299">
                            <w:pPr>
                              <w:rPr>
                                <w:b/>
                              </w:rPr>
                            </w:pPr>
                            <w:r w:rsidRPr="00430457">
                              <w:rPr>
                                <w:b/>
                              </w:rPr>
                              <w:t>Grafic varste in cadrul Zentiva Romania - decembrie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3E3" id="Text Box 3" o:spid="_x0000_s1030" type="#_x0000_t202" style="position:absolute;margin-left:53.1pt;margin-top:12.75pt;width:36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" fillcolor="white [3201]" stroked="f" strokeweight=".5pt">
                <v:textbox>
                  <w:txbxContent>
                    <w:p w:rsidR="00CE2E60" w:rsidRPr="00430457" w:rsidRDefault="00CE2E60" w:rsidP="00110299">
                      <w:pPr>
                        <w:rPr>
                          <w:b/>
                        </w:rPr>
                      </w:pPr>
                      <w:r w:rsidRPr="00430457">
                        <w:rPr>
                          <w:b/>
                        </w:rPr>
                        <w:t>Grafic varste in cadrul Zentiva Romania - decembrie 2018</w:t>
                      </w:r>
                    </w:p>
                  </w:txbxContent>
                </v:textbox>
              </v:shape>
            </w:pict>
          </mc:Fallback>
        </mc:AlternateContent>
      </w:r>
      <w:r w:rsidR="00387F9C" w:rsidRPr="00010A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79E5C5" wp14:editId="59708517">
            <wp:extent cx="5913120" cy="3547872"/>
            <wp:effectExtent l="0" t="0" r="0" b="0"/>
            <wp:docPr id="4" name="Picture 4" descr="cid:image002.png@01D52132.1A836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 descr="cid:image002.png@01D52132.1A836DC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75" cy="35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9C" w:rsidRPr="00010A42" w:rsidRDefault="00387F9C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Ori de 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te ori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posibil, Zentiva ofer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programe personalizate de beneficii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ilor (medicale, pentru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tatea ochilor, dentare etc.) care permit acestora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-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adapteze acoperirea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func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ie de situa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familial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nevoile personale. </w:t>
      </w:r>
    </w:p>
    <w:p w:rsidR="004D2275" w:rsidRPr="00010A42" w:rsidRDefault="004D227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 xml:space="preserve">n ceea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ce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prive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te condi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iile de munc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, Zentiva ofer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echipamente de protec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ie de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nalt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calitate pentru fiecare categorie</w:t>
      </w:r>
      <w:r w:rsidR="00DF6695" w:rsidRPr="00010A42">
        <w:rPr>
          <w:rFonts w:ascii="Arial" w:hAnsi="Arial" w:cs="Arial"/>
          <w:sz w:val="20"/>
          <w:szCs w:val="20"/>
        </w:rPr>
        <w:t xml:space="preserve"> </w:t>
      </w:r>
      <w:r w:rsidR="00110299" w:rsidRPr="00010A42">
        <w:rPr>
          <w:rFonts w:ascii="Arial" w:hAnsi="Arial" w:cs="Arial"/>
          <w:sz w:val="20"/>
          <w:szCs w:val="20"/>
        </w:rPr>
        <w:t>de munc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facilit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>i speciale din cadrul unit</w:t>
      </w:r>
      <w:r w:rsidRPr="00010A42">
        <w:rPr>
          <w:rFonts w:ascii="Arial" w:hAnsi="Arial" w:cs="Arial"/>
          <w:sz w:val="20"/>
          <w:szCs w:val="20"/>
        </w:rPr>
        <w:t>at</w:t>
      </w:r>
      <w:r w:rsidR="00110299" w:rsidRPr="00010A42">
        <w:rPr>
          <w:rFonts w:ascii="Arial" w:hAnsi="Arial" w:cs="Arial"/>
          <w:sz w:val="20"/>
          <w:szCs w:val="20"/>
        </w:rPr>
        <w:t>ii. Oferim hran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special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persoanelor care lucreaz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zona de produc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ie; oferim zilnic iaurt, iar o dat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pe 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pt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m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oferim fructe (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 special mere) care sunt puse la dispozi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ia angaja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ilor la cantin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. </w:t>
      </w:r>
    </w:p>
    <w:p w:rsidR="004D2275" w:rsidRPr="00010A42" w:rsidRDefault="004D227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Pentru munca pe timp de noapte oferim compensa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speciale,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cuantum de 25% din salariul de baz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pentru fiecare or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lucrat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. Acela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lucru </w:t>
      </w:r>
      <w:proofErr w:type="gramStart"/>
      <w:r w:rsidRPr="00010A42">
        <w:rPr>
          <w:rFonts w:ascii="Arial" w:hAnsi="Arial" w:cs="Arial"/>
          <w:sz w:val="20"/>
          <w:szCs w:val="20"/>
        </w:rPr>
        <w:t>este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valabil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pentru diferitele bonusuri oferite pentru ore suplimentare sau evenimente speciale (nunt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, na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tere,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nmorm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ntare, vechime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altele).</w:t>
      </w:r>
    </w:p>
    <w:p w:rsidR="004D2275" w:rsidRPr="00010A42" w:rsidRDefault="004D2275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4D2275" w:rsidRPr="00010A42" w:rsidRDefault="004D2275" w:rsidP="004D2275">
      <w:pPr>
        <w:pStyle w:val="Heading1"/>
        <w:numPr>
          <w:ilvl w:val="0"/>
          <w:numId w:val="43"/>
        </w:numPr>
        <w:spacing w:before="0" w:after="0"/>
        <w:rPr>
          <w:rFonts w:cs="Arial"/>
          <w:color w:val="17406D" w:themeColor="text2"/>
          <w:szCs w:val="20"/>
        </w:rPr>
      </w:pPr>
      <w:bookmarkStart w:id="46" w:name="_Toc12461613"/>
      <w:r w:rsidRPr="00010A42">
        <w:rPr>
          <w:rFonts w:cs="Arial"/>
          <w:color w:val="17406D" w:themeColor="text2"/>
          <w:szCs w:val="20"/>
        </w:rPr>
        <w:lastRenderedPageBreak/>
        <w:t>Angajamente sociale si diversitate (continuare)</w:t>
      </w:r>
      <w:bookmarkEnd w:id="46"/>
    </w:p>
    <w:p w:rsidR="004D2275" w:rsidRPr="00010A42" w:rsidRDefault="004D227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De asemenea, Zentiva ofer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pt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nal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 cursuri de kinetoterapie, masaj pe scaun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anumite perioade cursuri de ergonomie.</w:t>
      </w:r>
    </w:p>
    <w:p w:rsidR="004D2275" w:rsidRPr="00010A42" w:rsidRDefault="004D227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1631A6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ncep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nd cu a doua jum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tate a anului 2016, Zentiva a implementat </w:t>
      </w:r>
      <w:proofErr w:type="gramStart"/>
      <w:r w:rsidR="00110299" w:rsidRPr="00010A42">
        <w:rPr>
          <w:rFonts w:ascii="Arial" w:hAnsi="Arial" w:cs="Arial"/>
          <w:sz w:val="20"/>
          <w:szCs w:val="20"/>
        </w:rPr>
        <w:t>un</w:t>
      </w:r>
      <w:proofErr w:type="gramEnd"/>
      <w:r w:rsidR="00110299" w:rsidRPr="00010A42">
        <w:rPr>
          <w:rFonts w:ascii="Arial" w:hAnsi="Arial" w:cs="Arial"/>
          <w:sz w:val="20"/>
          <w:szCs w:val="20"/>
        </w:rPr>
        <w:t xml:space="preserve"> proiect numit "Fabrica de bun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stare" (Wellbeing Factory), cu scopul principal de a aduce un echilibru </w:t>
      </w:r>
      <w:r w:rsidRPr="00010A42">
        <w:rPr>
          <w:rFonts w:ascii="Arial" w:hAnsi="Arial" w:cs="Arial"/>
          <w:sz w:val="20"/>
          <w:szCs w:val="20"/>
        </w:rPr>
        <w:t>i</w:t>
      </w:r>
      <w:r w:rsidR="00110299" w:rsidRPr="00010A42">
        <w:rPr>
          <w:rFonts w:ascii="Arial" w:hAnsi="Arial" w:cs="Arial"/>
          <w:sz w:val="20"/>
          <w:szCs w:val="20"/>
        </w:rPr>
        <w:t>ntre via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a profesional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cea personal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a angaja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ilor. Acest program are mai mul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i piloni cum ar fi: - s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n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>tatea (nutri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ie, sport, managementul stresului), evenimente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dezvoltare personal</w:t>
      </w:r>
      <w:r w:rsidRPr="00010A42">
        <w:rPr>
          <w:rFonts w:ascii="Arial" w:hAnsi="Arial" w:cs="Arial"/>
          <w:sz w:val="20"/>
          <w:szCs w:val="20"/>
        </w:rPr>
        <w:t>a</w:t>
      </w:r>
      <w:r w:rsidR="00110299" w:rsidRPr="00010A42">
        <w:rPr>
          <w:rFonts w:ascii="Arial" w:hAnsi="Arial" w:cs="Arial"/>
          <w:sz w:val="20"/>
          <w:szCs w:val="20"/>
        </w:rPr>
        <w:t xml:space="preserve"> (formare, ateliere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conferin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>e) la angaja</w:t>
      </w:r>
      <w:r w:rsidRPr="00010A42">
        <w:rPr>
          <w:rFonts w:ascii="Arial" w:hAnsi="Arial" w:cs="Arial"/>
          <w:sz w:val="20"/>
          <w:szCs w:val="20"/>
        </w:rPr>
        <w:t>t</w:t>
      </w:r>
      <w:r w:rsidR="00110299" w:rsidRPr="00010A42">
        <w:rPr>
          <w:rFonts w:ascii="Arial" w:hAnsi="Arial" w:cs="Arial"/>
          <w:sz w:val="20"/>
          <w:szCs w:val="20"/>
        </w:rPr>
        <w:t xml:space="preserve">ii se pot abona </w:t>
      </w:r>
      <w:r w:rsidRPr="00010A42">
        <w:rPr>
          <w:rFonts w:ascii="Arial" w:hAnsi="Arial" w:cs="Arial"/>
          <w:sz w:val="20"/>
          <w:szCs w:val="20"/>
        </w:rPr>
        <w:t>s</w:t>
      </w:r>
      <w:r w:rsidR="00110299" w:rsidRPr="00010A42">
        <w:rPr>
          <w:rFonts w:ascii="Arial" w:hAnsi="Arial" w:cs="Arial"/>
          <w:sz w:val="20"/>
          <w:szCs w:val="20"/>
        </w:rPr>
        <w:t>i participa gratuit.</w:t>
      </w:r>
    </w:p>
    <w:p w:rsidR="004D2275" w:rsidRPr="00010A42" w:rsidRDefault="004D2275" w:rsidP="00AF1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299" w:rsidRPr="00010A42" w:rsidRDefault="00964795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De asemenea, oferim abonament la biblioteca online numit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Bookster, de unde angaja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 pot </w:t>
      </w:r>
      <w:r w:rsidR="004E21A3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mprumuta gratuit o </w:t>
      </w:r>
      <w:proofErr w:type="gramStart"/>
      <w:r w:rsidRPr="00010A42">
        <w:rPr>
          <w:rFonts w:ascii="Arial" w:hAnsi="Arial" w:cs="Arial"/>
          <w:sz w:val="20"/>
          <w:szCs w:val="20"/>
        </w:rPr>
        <w:t>gam</w:t>
      </w:r>
      <w:r w:rsidR="004E21A3"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larg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c</w:t>
      </w:r>
      <w:r w:rsidR="004E21A3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4E21A3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 care le sunt livrate la birou.</w:t>
      </w:r>
    </w:p>
    <w:p w:rsidR="00964795" w:rsidRPr="00010A42" w:rsidRDefault="00964795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D2275" w:rsidRPr="00010A42" w:rsidRDefault="00964795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Numarul de angajati Zentiv</w:t>
      </w:r>
      <w:r w:rsidR="00193964">
        <w:rPr>
          <w:rFonts w:ascii="Arial" w:hAnsi="Arial" w:cs="Arial"/>
          <w:sz w:val="20"/>
          <w:szCs w:val="20"/>
        </w:rPr>
        <w:t>a in decembrie 2018 a fost de 5</w:t>
      </w:r>
      <w:r w:rsidR="005B2B87">
        <w:rPr>
          <w:rFonts w:ascii="Arial" w:hAnsi="Arial" w:cs="Arial"/>
          <w:sz w:val="20"/>
          <w:szCs w:val="20"/>
        </w:rPr>
        <w:t>7</w:t>
      </w:r>
      <w:r w:rsidRPr="00010A42">
        <w:rPr>
          <w:rFonts w:ascii="Arial" w:hAnsi="Arial" w:cs="Arial"/>
          <w:sz w:val="20"/>
          <w:szCs w:val="20"/>
        </w:rPr>
        <w:t>8 persoane</w:t>
      </w:r>
      <w:r w:rsidR="00BD26B6" w:rsidRPr="00010A42">
        <w:rPr>
          <w:rFonts w:ascii="Arial" w:hAnsi="Arial" w:cs="Arial"/>
          <w:sz w:val="20"/>
          <w:szCs w:val="20"/>
        </w:rPr>
        <w:t>.</w:t>
      </w:r>
    </w:p>
    <w:p w:rsidR="004D2275" w:rsidRPr="00010A42" w:rsidRDefault="004D2275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B2B87" w:rsidRDefault="005B2B87" w:rsidP="00D30697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964795" w:rsidRPr="00010A42" w:rsidRDefault="005B2B87" w:rsidP="00D30697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40CB7D">
            <wp:extent cx="3865245" cy="2066925"/>
            <wp:effectExtent l="0" t="0" r="190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299" w:rsidRPr="00010A42" w:rsidRDefault="00110299" w:rsidP="004D227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10299" w:rsidRPr="00010A42" w:rsidRDefault="004D2275" w:rsidP="004D2275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47" w:name="_Toc12461614"/>
      <w:r w:rsidRPr="00010A42">
        <w:rPr>
          <w:rFonts w:cs="Arial"/>
          <w:color w:val="17406D" w:themeColor="text2"/>
          <w:szCs w:val="20"/>
        </w:rPr>
        <w:t xml:space="preserve">6.2.3 </w:t>
      </w:r>
      <w:r w:rsidR="00110299" w:rsidRPr="00010A42">
        <w:rPr>
          <w:rFonts w:cs="Arial"/>
          <w:color w:val="17406D" w:themeColor="text2"/>
          <w:szCs w:val="20"/>
        </w:rPr>
        <w:t>Dialogul social</w:t>
      </w:r>
      <w:bookmarkEnd w:id="47"/>
    </w:p>
    <w:p w:rsidR="00110299" w:rsidRPr="00010A42" w:rsidRDefault="00110299" w:rsidP="00AF1B8A">
      <w:pPr>
        <w:pStyle w:val="CommentText"/>
        <w:spacing w:after="0" w:line="240" w:lineRule="auto"/>
        <w:rPr>
          <w:rFonts w:ascii="Arial" w:hAnsi="Arial" w:cs="Arial"/>
        </w:rPr>
      </w:pPr>
    </w:p>
    <w:p w:rsidR="00110299" w:rsidRPr="00010A42" w:rsidRDefault="00110299" w:rsidP="00AF1B8A">
      <w:pPr>
        <w:pStyle w:val="CommentText"/>
        <w:spacing w:after="0" w:line="240" w:lineRule="auto"/>
        <w:rPr>
          <w:rFonts w:ascii="Arial" w:hAnsi="Arial" w:cs="Arial"/>
        </w:rPr>
      </w:pPr>
      <w:r w:rsidRPr="00010A42">
        <w:rPr>
          <w:rFonts w:ascii="Arial" w:hAnsi="Arial" w:cs="Arial"/>
        </w:rPr>
        <w:t>Reprezentan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ii sindicatului sunt ale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i de angaja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 xml:space="preserve">ii companiei pentru </w:t>
      </w:r>
      <w:proofErr w:type="gramStart"/>
      <w:r w:rsidRPr="00010A42">
        <w:rPr>
          <w:rFonts w:ascii="Arial" w:hAnsi="Arial" w:cs="Arial"/>
        </w:rPr>
        <w:t>un</w:t>
      </w:r>
      <w:proofErr w:type="gramEnd"/>
      <w:r w:rsidRPr="00010A42">
        <w:rPr>
          <w:rFonts w:ascii="Arial" w:hAnsi="Arial" w:cs="Arial"/>
        </w:rPr>
        <w:t xml:space="preserve"> termen de 2 ani; ace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tia au siguran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a locului de munc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garantat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i nu pot fi concedia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 xml:space="preserve">i de companie pe durata mandatului lor. </w:t>
      </w:r>
      <w:r w:rsidR="00964795" w:rsidRPr="00010A42">
        <w:rPr>
          <w:rFonts w:ascii="Arial" w:hAnsi="Arial" w:cs="Arial"/>
        </w:rPr>
        <w:t>Comitetul sindical si reprezentantul angajatorului se intalnesc periodic.</w:t>
      </w:r>
    </w:p>
    <w:p w:rsidR="004D2275" w:rsidRPr="00010A42" w:rsidRDefault="004D2275" w:rsidP="00AF1B8A">
      <w:pPr>
        <w:pStyle w:val="CommentText"/>
        <w:spacing w:after="0" w:line="240" w:lineRule="auto"/>
        <w:rPr>
          <w:rFonts w:ascii="Arial" w:hAnsi="Arial" w:cs="Arial"/>
        </w:rPr>
      </w:pPr>
    </w:p>
    <w:p w:rsidR="00964795" w:rsidRPr="00010A42" w:rsidRDefault="00964795" w:rsidP="00AF1B8A">
      <w:pPr>
        <w:pStyle w:val="CommentText"/>
        <w:spacing w:after="0" w:line="240" w:lineRule="auto"/>
        <w:rPr>
          <w:rFonts w:ascii="Arial" w:hAnsi="Arial" w:cs="Arial"/>
        </w:rPr>
      </w:pPr>
      <w:r w:rsidRPr="00010A42">
        <w:rPr>
          <w:rFonts w:ascii="Arial" w:hAnsi="Arial" w:cs="Arial"/>
        </w:rPr>
        <w:t xml:space="preserve">Prin Contractul colectiv de munca (al doilea capitol), Zentiva permite Sindicatului </w:t>
      </w:r>
      <w:proofErr w:type="gramStart"/>
      <w:r w:rsidRPr="00010A42">
        <w:rPr>
          <w:rFonts w:ascii="Arial" w:hAnsi="Arial" w:cs="Arial"/>
        </w:rPr>
        <w:t>sa</w:t>
      </w:r>
      <w:proofErr w:type="gramEnd"/>
      <w:r w:rsidRPr="00010A42">
        <w:rPr>
          <w:rFonts w:ascii="Arial" w:hAnsi="Arial" w:cs="Arial"/>
        </w:rPr>
        <w:t xml:space="preserve"> isi desfasoare activitatile in cadrul fabricii si sa utilizeze resursele Zentiva in acest scop. Sindicatul are dreptul de a fi in permanenta informat si de a-si alege membrii din randul angajatilor Zentiva.</w:t>
      </w:r>
    </w:p>
    <w:p w:rsidR="004D2275" w:rsidRPr="00010A42" w:rsidRDefault="004D2275" w:rsidP="00AF1B8A">
      <w:pPr>
        <w:pStyle w:val="CommentText"/>
        <w:spacing w:after="0" w:line="240" w:lineRule="auto"/>
        <w:rPr>
          <w:rFonts w:ascii="Arial" w:hAnsi="Arial" w:cs="Arial"/>
        </w:rPr>
      </w:pPr>
    </w:p>
    <w:p w:rsidR="00110299" w:rsidRPr="00010A42" w:rsidRDefault="00110299" w:rsidP="00AF1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 xml:space="preserve">Zentiva a fost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ntotdeauna interesat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educa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ia tinerilor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acest scop am dezvoltat programe de stagiu speciale pentru elevii de liceu (Zentiva Express)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absolven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de facultate (Universitatea Zentiva).</w:t>
      </w:r>
    </w:p>
    <w:p w:rsidR="004D2275" w:rsidRPr="00010A42" w:rsidRDefault="004D2275">
      <w:pPr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br w:type="page"/>
      </w:r>
    </w:p>
    <w:p w:rsidR="004D2275" w:rsidRPr="00010A42" w:rsidRDefault="004D2275" w:rsidP="004D2275">
      <w:pPr>
        <w:pStyle w:val="Heading1"/>
        <w:numPr>
          <w:ilvl w:val="0"/>
          <w:numId w:val="44"/>
        </w:numPr>
        <w:spacing w:before="0" w:after="0"/>
        <w:rPr>
          <w:rFonts w:cs="Arial"/>
          <w:color w:val="17406D" w:themeColor="text2"/>
          <w:szCs w:val="20"/>
        </w:rPr>
      </w:pPr>
      <w:bookmarkStart w:id="48" w:name="_Toc12461615"/>
      <w:r w:rsidRPr="00010A42">
        <w:rPr>
          <w:rFonts w:cs="Arial"/>
          <w:color w:val="17406D" w:themeColor="text2"/>
          <w:szCs w:val="20"/>
        </w:rPr>
        <w:lastRenderedPageBreak/>
        <w:t>Angajamente sociale si diversitate (continuare)</w:t>
      </w:r>
      <w:bookmarkEnd w:id="48"/>
    </w:p>
    <w:p w:rsidR="004D2275" w:rsidRPr="00010A42" w:rsidRDefault="004D2275" w:rsidP="004D2275">
      <w:pPr>
        <w:pStyle w:val="Heading3"/>
        <w:spacing w:before="0"/>
        <w:rPr>
          <w:rFonts w:eastAsiaTheme="minorEastAsia" w:cs="Arial"/>
          <w:color w:val="auto"/>
          <w:szCs w:val="20"/>
        </w:rPr>
      </w:pPr>
    </w:p>
    <w:p w:rsidR="00110299" w:rsidRPr="00010A42" w:rsidRDefault="004D2275" w:rsidP="004D2275">
      <w:pPr>
        <w:pStyle w:val="Heading3"/>
        <w:spacing w:before="0"/>
        <w:rPr>
          <w:rFonts w:cs="Arial"/>
          <w:color w:val="17406D" w:themeColor="text2"/>
          <w:szCs w:val="20"/>
        </w:rPr>
      </w:pPr>
      <w:bookmarkStart w:id="49" w:name="_Toc12461616"/>
      <w:r w:rsidRPr="00010A42">
        <w:rPr>
          <w:rFonts w:eastAsiaTheme="minorEastAsia" w:cs="Arial"/>
          <w:color w:val="auto"/>
          <w:szCs w:val="20"/>
        </w:rPr>
        <w:t xml:space="preserve">6.2.4 </w:t>
      </w:r>
      <w:r w:rsidR="00110299" w:rsidRPr="00010A42">
        <w:rPr>
          <w:rFonts w:cs="Arial"/>
          <w:color w:val="17406D" w:themeColor="text2"/>
          <w:szCs w:val="20"/>
        </w:rPr>
        <w:t xml:space="preserve">Echilibrul dintre sexe </w:t>
      </w:r>
      <w:r w:rsidR="001631A6" w:rsidRPr="00010A42">
        <w:rPr>
          <w:rFonts w:cs="Arial"/>
          <w:color w:val="17406D" w:themeColor="text2"/>
          <w:szCs w:val="20"/>
        </w:rPr>
        <w:t>s</w:t>
      </w:r>
      <w:r w:rsidR="00110299" w:rsidRPr="00010A42">
        <w:rPr>
          <w:rFonts w:cs="Arial"/>
          <w:color w:val="17406D" w:themeColor="text2"/>
          <w:szCs w:val="20"/>
        </w:rPr>
        <w:t>i diversitatea</w:t>
      </w:r>
      <w:bookmarkEnd w:id="49"/>
    </w:p>
    <w:p w:rsidR="00733729" w:rsidRPr="00010A42" w:rsidRDefault="00733729" w:rsidP="00AF1B8A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Principiile de diversitate care reglementeaz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nediscriminarea, oportunit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 xml:space="preserve">ile egale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respectul pentru persoane sunt respectate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integrate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toate politicile noastre de resurse umane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Codul de etic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,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conformitate cu legisla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ia na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ional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aplicabil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 xml:space="preserve">n domeniul drepturilor omului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dreptului muncii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Rom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nia.</w:t>
      </w:r>
    </w:p>
    <w:p w:rsidR="004D2275" w:rsidRPr="00010A42" w:rsidRDefault="004D2275" w:rsidP="00AF1B8A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Zentiva consider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diversitatea o resurs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pentru optimizarea performan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ei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recunoa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terea diferen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elor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ilor.</w:t>
      </w:r>
    </w:p>
    <w:p w:rsidR="00964795" w:rsidRPr="00010A42" w:rsidRDefault="00964795" w:rsidP="00AF1B8A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Zentiva interzice orice form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discriminare sau orice comportament care poate prejudicia demnitatea personal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promoveaz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diversitatea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 xml:space="preserve">i incluziunea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cadrul companiei.</w:t>
      </w:r>
    </w:p>
    <w:p w:rsidR="001631A6" w:rsidRPr="00010A42" w:rsidRDefault="001631A6" w:rsidP="00AF1B8A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Zentiva interzice orice form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de h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uire </w:t>
      </w:r>
      <w:proofErr w:type="gramStart"/>
      <w:r w:rsidRPr="00010A42">
        <w:rPr>
          <w:rFonts w:ascii="Arial" w:hAnsi="Arial" w:cs="Arial"/>
          <w:sz w:val="20"/>
          <w:szCs w:val="20"/>
        </w:rPr>
        <w:t>a</w:t>
      </w:r>
      <w:proofErr w:type="gramEnd"/>
      <w:r w:rsidRPr="00010A42">
        <w:rPr>
          <w:rFonts w:ascii="Arial" w:hAnsi="Arial" w:cs="Arial"/>
          <w:sz w:val="20"/>
          <w:szCs w:val="20"/>
        </w:rPr>
        <w:t xml:space="preserve">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ilor.</w:t>
      </w:r>
    </w:p>
    <w:p w:rsidR="004D2275" w:rsidRPr="00010A42" w:rsidRDefault="004D2275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10299" w:rsidRPr="00010A42" w:rsidRDefault="00110299" w:rsidP="00AF1B8A">
      <w:pPr>
        <w:pStyle w:val="CommentText"/>
        <w:spacing w:after="0" w:line="240" w:lineRule="auto"/>
        <w:rPr>
          <w:rFonts w:ascii="Arial" w:hAnsi="Arial" w:cs="Arial"/>
        </w:rPr>
      </w:pPr>
      <w:r w:rsidRPr="00010A42">
        <w:rPr>
          <w:rFonts w:ascii="Arial" w:hAnsi="Arial" w:cs="Arial"/>
        </w:rPr>
        <w:t>Acest lucru are la baz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faptul c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to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i angaja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ii au acelea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 xml:space="preserve">i drepturi 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i obliga</w:t>
      </w:r>
      <w:r w:rsidR="001631A6" w:rsidRPr="00010A42">
        <w:rPr>
          <w:rFonts w:ascii="Arial" w:hAnsi="Arial" w:cs="Arial"/>
        </w:rPr>
        <w:t>t</w:t>
      </w:r>
      <w:r w:rsidRPr="00010A42">
        <w:rPr>
          <w:rFonts w:ascii="Arial" w:hAnsi="Arial" w:cs="Arial"/>
        </w:rPr>
        <w:t>ii, acelea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 xml:space="preserve">i beneficii </w:t>
      </w:r>
      <w:r w:rsidR="001631A6" w:rsidRPr="00010A42">
        <w:rPr>
          <w:rFonts w:ascii="Arial" w:hAnsi="Arial" w:cs="Arial"/>
        </w:rPr>
        <w:t>s</w:t>
      </w:r>
      <w:r w:rsidRPr="00010A42">
        <w:rPr>
          <w:rFonts w:ascii="Arial" w:hAnsi="Arial" w:cs="Arial"/>
        </w:rPr>
        <w:t>i recompense legate de responsabilit</w:t>
      </w:r>
      <w:r w:rsidR="001631A6" w:rsidRPr="00010A42">
        <w:rPr>
          <w:rFonts w:ascii="Arial" w:hAnsi="Arial" w:cs="Arial"/>
        </w:rPr>
        <w:t>at</w:t>
      </w:r>
      <w:r w:rsidRPr="00010A42">
        <w:rPr>
          <w:rFonts w:ascii="Arial" w:hAnsi="Arial" w:cs="Arial"/>
        </w:rPr>
        <w:t>ile de serviciu pe care le au, indiferent de v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>rst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>, sex, ras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>, religie, orientare sexual</w:t>
      </w:r>
      <w:r w:rsidR="001631A6" w:rsidRPr="00010A42"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 etc.</w:t>
      </w:r>
    </w:p>
    <w:p w:rsidR="004D2275" w:rsidRPr="00010A42" w:rsidRDefault="004D2275" w:rsidP="00AF1B8A">
      <w:pPr>
        <w:pStyle w:val="CommentText"/>
        <w:spacing w:after="0" w:line="240" w:lineRule="auto"/>
        <w:rPr>
          <w:rFonts w:ascii="Arial" w:hAnsi="Arial" w:cs="Arial"/>
        </w:rPr>
      </w:pPr>
    </w:p>
    <w:p w:rsidR="00110299" w:rsidRPr="00010A42" w:rsidRDefault="001631A6" w:rsidP="00AF1B8A">
      <w:pPr>
        <w:pStyle w:val="CommentText"/>
        <w:spacing w:after="0" w:line="240" w:lineRule="auto"/>
        <w:rPr>
          <w:rFonts w:ascii="Arial" w:hAnsi="Arial" w:cs="Arial"/>
        </w:rPr>
      </w:pPr>
      <w:r w:rsidRPr="00010A42">
        <w:rPr>
          <w:rFonts w:ascii="Arial" w:hAnsi="Arial" w:cs="Arial"/>
        </w:rPr>
        <w:t>I</w:t>
      </w:r>
      <w:r w:rsidR="00110299" w:rsidRPr="00010A42">
        <w:rPr>
          <w:rFonts w:ascii="Arial" w:hAnsi="Arial" w:cs="Arial"/>
        </w:rPr>
        <w:t xml:space="preserve">n ceea </w:t>
      </w:r>
      <w:proofErr w:type="gramStart"/>
      <w:r w:rsidR="00110299" w:rsidRPr="00010A42">
        <w:rPr>
          <w:rFonts w:ascii="Arial" w:hAnsi="Arial" w:cs="Arial"/>
        </w:rPr>
        <w:t>ce</w:t>
      </w:r>
      <w:proofErr w:type="gramEnd"/>
      <w:r w:rsidR="00110299" w:rsidRPr="00010A42">
        <w:rPr>
          <w:rFonts w:ascii="Arial" w:hAnsi="Arial" w:cs="Arial"/>
        </w:rPr>
        <w:t xml:space="preserve"> prive</w:t>
      </w:r>
      <w:r w:rsidRPr="00010A42">
        <w:rPr>
          <w:rFonts w:ascii="Arial" w:hAnsi="Arial" w:cs="Arial"/>
        </w:rPr>
        <w:t>s</w:t>
      </w:r>
      <w:r w:rsidR="00110299" w:rsidRPr="00010A42">
        <w:rPr>
          <w:rFonts w:ascii="Arial" w:hAnsi="Arial" w:cs="Arial"/>
        </w:rPr>
        <w:t>te tratamentul egal, Zentiva sprijin</w:t>
      </w:r>
      <w:r w:rsidRPr="00010A42">
        <w:rPr>
          <w:rFonts w:ascii="Arial" w:hAnsi="Arial" w:cs="Arial"/>
        </w:rPr>
        <w:t>a</w:t>
      </w:r>
      <w:r w:rsidR="00110299" w:rsidRPr="00010A42">
        <w:rPr>
          <w:rFonts w:ascii="Arial" w:hAnsi="Arial" w:cs="Arial"/>
        </w:rPr>
        <w:t xml:space="preserve"> oportunit</w:t>
      </w:r>
      <w:r w:rsidRPr="00010A42">
        <w:rPr>
          <w:rFonts w:ascii="Arial" w:hAnsi="Arial" w:cs="Arial"/>
        </w:rPr>
        <w:t>at</w:t>
      </w:r>
      <w:r w:rsidR="00110299" w:rsidRPr="00010A42">
        <w:rPr>
          <w:rFonts w:ascii="Arial" w:hAnsi="Arial" w:cs="Arial"/>
        </w:rPr>
        <w:t xml:space="preserve">ile egale pentru fiecare angajat </w:t>
      </w:r>
      <w:r w:rsidRPr="00010A42">
        <w:rPr>
          <w:rFonts w:ascii="Arial" w:hAnsi="Arial" w:cs="Arial"/>
        </w:rPr>
        <w:t>s</w:t>
      </w:r>
      <w:r w:rsidR="00110299" w:rsidRPr="00010A42">
        <w:rPr>
          <w:rFonts w:ascii="Arial" w:hAnsi="Arial" w:cs="Arial"/>
        </w:rPr>
        <w:t xml:space="preserve">i candidat cu scopul de a crea un mediu de lucru incluziv </w:t>
      </w:r>
      <w:r w:rsidRPr="00010A42">
        <w:rPr>
          <w:rFonts w:ascii="Arial" w:hAnsi="Arial" w:cs="Arial"/>
        </w:rPr>
        <w:t>s</w:t>
      </w:r>
      <w:r w:rsidR="00110299" w:rsidRPr="00010A42">
        <w:rPr>
          <w:rFonts w:ascii="Arial" w:hAnsi="Arial" w:cs="Arial"/>
        </w:rPr>
        <w:t>i pozitiv.</w:t>
      </w:r>
    </w:p>
    <w:p w:rsidR="004D2275" w:rsidRPr="00010A42" w:rsidRDefault="004D2275" w:rsidP="00AF1B8A">
      <w:pPr>
        <w:pStyle w:val="CommentText"/>
        <w:spacing w:after="0" w:line="240" w:lineRule="auto"/>
        <w:rPr>
          <w:rFonts w:ascii="Arial" w:hAnsi="Arial" w:cs="Arial"/>
        </w:rPr>
      </w:pPr>
    </w:p>
    <w:p w:rsidR="00110299" w:rsidRPr="00010A42" w:rsidRDefault="00110299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Factorii lua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considerare sunt competen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ele, abilit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ile, expertiza, experien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standardele etice ridicate. Zentiva ofer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acelea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oportunit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 de carier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b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>rba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femeilor, inclusiv accesul femeilor la func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iile de conducere.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cadrul unit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ii, 50% dintre femei fac parte din conducerea superioar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. </w:t>
      </w:r>
      <w:r w:rsidR="001631A6" w:rsidRPr="00010A42">
        <w:rPr>
          <w:rFonts w:ascii="Arial" w:hAnsi="Arial" w:cs="Arial"/>
          <w:sz w:val="20"/>
          <w:szCs w:val="20"/>
        </w:rPr>
        <w:t>I</w:t>
      </w:r>
      <w:r w:rsidRPr="00010A42">
        <w:rPr>
          <w:rFonts w:ascii="Arial" w:hAnsi="Arial" w:cs="Arial"/>
          <w:sz w:val="20"/>
          <w:szCs w:val="20"/>
        </w:rPr>
        <w:t>n fiecare an, pe baza sondajelor efectuate de companii de cercetare de pia</w:t>
      </w:r>
      <w:r w:rsidR="001631A6" w:rsidRPr="00010A42">
        <w:rPr>
          <w:rFonts w:ascii="Arial" w:hAnsi="Arial" w:cs="Arial"/>
          <w:sz w:val="20"/>
          <w:szCs w:val="20"/>
        </w:rPr>
        <w:t>ta</w:t>
      </w:r>
      <w:r w:rsidRPr="00010A42">
        <w:rPr>
          <w:rFonts w:ascii="Arial" w:hAnsi="Arial" w:cs="Arial"/>
          <w:sz w:val="20"/>
          <w:szCs w:val="20"/>
        </w:rPr>
        <w:t xml:space="preserve"> de renume pentru a compara nivelul remunera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 xml:space="preserve">iilor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beneficiilor.</w:t>
      </w:r>
    </w:p>
    <w:p w:rsidR="00110299" w:rsidRPr="00010A42" w:rsidRDefault="00110299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10299" w:rsidRPr="00AF1B8A" w:rsidRDefault="00110299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10A42">
        <w:rPr>
          <w:rFonts w:ascii="Arial" w:hAnsi="Arial" w:cs="Arial"/>
          <w:sz w:val="20"/>
          <w:szCs w:val="20"/>
        </w:rPr>
        <w:t>Zentiva sprijin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recrutarea </w:t>
      </w:r>
      <w:r w:rsidR="001631A6" w:rsidRPr="00010A42">
        <w:rPr>
          <w:rFonts w:ascii="Arial" w:hAnsi="Arial" w:cs="Arial"/>
          <w:sz w:val="20"/>
          <w:szCs w:val="20"/>
        </w:rPr>
        <w:t>s</w:t>
      </w:r>
      <w:r w:rsidRPr="00010A42">
        <w:rPr>
          <w:rFonts w:ascii="Arial" w:hAnsi="Arial" w:cs="Arial"/>
          <w:sz w:val="20"/>
          <w:szCs w:val="20"/>
        </w:rPr>
        <w:t>i asigur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men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inerea locurilor de munc</w:t>
      </w:r>
      <w:r w:rsidR="001631A6" w:rsidRPr="00010A42">
        <w:rPr>
          <w:rFonts w:ascii="Arial" w:hAnsi="Arial" w:cs="Arial"/>
          <w:sz w:val="20"/>
          <w:szCs w:val="20"/>
        </w:rPr>
        <w:t>a</w:t>
      </w:r>
      <w:r w:rsidRPr="00010A42">
        <w:rPr>
          <w:rFonts w:ascii="Arial" w:hAnsi="Arial" w:cs="Arial"/>
          <w:sz w:val="20"/>
          <w:szCs w:val="20"/>
        </w:rPr>
        <w:t xml:space="preserve"> pentru angaja</w:t>
      </w:r>
      <w:r w:rsidR="001631A6" w:rsidRPr="00010A42">
        <w:rPr>
          <w:rFonts w:ascii="Arial" w:hAnsi="Arial" w:cs="Arial"/>
          <w:sz w:val="20"/>
          <w:szCs w:val="20"/>
        </w:rPr>
        <w:t>t</w:t>
      </w:r>
      <w:r w:rsidRPr="00010A42">
        <w:rPr>
          <w:rFonts w:ascii="Arial" w:hAnsi="Arial" w:cs="Arial"/>
          <w:sz w:val="20"/>
          <w:szCs w:val="20"/>
        </w:rPr>
        <w:t>ii cu dizabilit</w:t>
      </w:r>
      <w:r w:rsidR="001631A6" w:rsidRPr="00010A42">
        <w:rPr>
          <w:rFonts w:ascii="Arial" w:hAnsi="Arial" w:cs="Arial"/>
          <w:sz w:val="20"/>
          <w:szCs w:val="20"/>
        </w:rPr>
        <w:t>at</w:t>
      </w:r>
      <w:r w:rsidRPr="00010A42">
        <w:rPr>
          <w:rFonts w:ascii="Arial" w:hAnsi="Arial" w:cs="Arial"/>
          <w:sz w:val="20"/>
          <w:szCs w:val="20"/>
        </w:rPr>
        <w:t>i.</w:t>
      </w:r>
    </w:p>
    <w:p w:rsidR="00110299" w:rsidRPr="00AF1B8A" w:rsidRDefault="00110299" w:rsidP="00AF1B8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sectPr w:rsidR="00110299" w:rsidRPr="00AF1B8A" w:rsidSect="008E0E53">
      <w:headerReference w:type="default" r:id="rId30"/>
      <w:headerReference w:type="first" r:id="rId31"/>
      <w:pgSz w:w="11907" w:h="16840" w:code="9"/>
      <w:pgMar w:top="1985" w:right="1134" w:bottom="1985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C7" w:rsidRDefault="00442EC7">
      <w:r>
        <w:separator/>
      </w:r>
    </w:p>
  </w:endnote>
  <w:endnote w:type="continuationSeparator" w:id="0">
    <w:p w:rsidR="00442EC7" w:rsidRDefault="00442EC7">
      <w:r>
        <w:continuationSeparator/>
      </w:r>
    </w:p>
  </w:endnote>
  <w:endnote w:type="continuationNotice" w:id="1">
    <w:p w:rsidR="00442EC7" w:rsidRDefault="00442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0" w:rsidRDefault="00CE2E60" w:rsidP="00FC6A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E60" w:rsidRDefault="00CE2E60" w:rsidP="009515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22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E2E60" w:rsidRPr="00595F45" w:rsidRDefault="00CE2E60" w:rsidP="00986EC0">
        <w:pPr>
          <w:spacing w:after="0" w:line="240" w:lineRule="auto"/>
          <w:rPr>
            <w:rFonts w:eastAsia="Calibri"/>
            <w:color w:val="365F91"/>
            <w:sz w:val="14"/>
            <w:szCs w:val="16"/>
          </w:rPr>
        </w:pPr>
        <w:r w:rsidRPr="00595F45">
          <w:rPr>
            <w:noProof/>
            <w:sz w:val="8"/>
            <w:szCs w:val="10"/>
          </w:rPr>
          <w:drawing>
            <wp:anchor distT="0" distB="0" distL="114300" distR="114300" simplePos="0" relativeHeight="251666432" behindDoc="1" locked="0" layoutInCell="1" allowOverlap="1" wp14:anchorId="42040FA9" wp14:editId="30D99B97">
              <wp:simplePos x="0" y="0"/>
              <wp:positionH relativeFrom="column">
                <wp:posOffset>4844235</wp:posOffset>
              </wp:positionH>
              <wp:positionV relativeFrom="paragraph">
                <wp:posOffset>-253868</wp:posOffset>
              </wp:positionV>
              <wp:extent cx="1627505" cy="926465"/>
              <wp:effectExtent l="0" t="0" r="0" b="6985"/>
              <wp:wrapTight wrapText="bothSides">
                <wp:wrapPolygon edited="0">
                  <wp:start x="20479" y="0"/>
                  <wp:lineTo x="11124" y="888"/>
                  <wp:lineTo x="7332" y="3109"/>
                  <wp:lineTo x="6574" y="14212"/>
                  <wp:lineTo x="0" y="20875"/>
                  <wp:lineTo x="0" y="21319"/>
                  <wp:lineTo x="21238" y="21319"/>
                  <wp:lineTo x="21238" y="0"/>
                  <wp:lineTo x="20479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7505" cy="926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95F45">
          <w:rPr>
            <w:rFonts w:eastAsia="Calibri"/>
            <w:b/>
            <w:color w:val="365F91"/>
            <w:sz w:val="14"/>
            <w:szCs w:val="16"/>
          </w:rPr>
          <w:t>Zentiva s.a.-</w:t>
        </w:r>
        <w:r w:rsidRPr="00595F45">
          <w:rPr>
            <w:rFonts w:eastAsia="Calibri"/>
            <w:color w:val="365F91"/>
            <w:sz w:val="14"/>
            <w:szCs w:val="16"/>
          </w:rPr>
          <w:t xml:space="preserve">50 Theodor Pallady Blvd. - 032266 Bucharest – Romania                                                                                                                                        </w:t>
        </w:r>
      </w:p>
      <w:p w:rsidR="00CE2E60" w:rsidRPr="00595F45" w:rsidRDefault="00442EC7" w:rsidP="00986EC0">
        <w:pPr>
          <w:spacing w:after="0" w:line="240" w:lineRule="auto"/>
          <w:rPr>
            <w:rFonts w:eastAsia="Calibri"/>
            <w:color w:val="365F91"/>
            <w:sz w:val="14"/>
            <w:szCs w:val="16"/>
          </w:rPr>
        </w:pPr>
        <w:hyperlink r:id="rId2" w:history="1">
          <w:r w:rsidR="00CE2E60" w:rsidRPr="00595F45">
            <w:rPr>
              <w:rStyle w:val="Hyperlink"/>
              <w:rFonts w:eastAsia="Calibri"/>
              <w:color w:val="365F91"/>
              <w:sz w:val="14"/>
              <w:szCs w:val="16"/>
            </w:rPr>
            <w:t>Tel:(+40)21</w:t>
          </w:r>
        </w:hyperlink>
        <w:r w:rsidR="00CE2E60" w:rsidRPr="00595F45">
          <w:rPr>
            <w:rFonts w:eastAsia="Calibri"/>
            <w:color w:val="365F91"/>
            <w:sz w:val="14"/>
            <w:szCs w:val="16"/>
          </w:rPr>
          <w:t xml:space="preserve"> 304 71.29- Fax :( +40)21 345 40.04-E-mail:office@zentiva.ro-www.zentiva.ro</w:t>
        </w:r>
      </w:p>
      <w:p w:rsidR="00CE2E60" w:rsidRPr="00595F45" w:rsidRDefault="00CE2E60" w:rsidP="00986EC0">
        <w:pPr>
          <w:spacing w:after="0" w:line="240" w:lineRule="auto"/>
          <w:rPr>
            <w:sz w:val="20"/>
          </w:rPr>
        </w:pPr>
        <w:r w:rsidRPr="00595F45">
          <w:rPr>
            <w:rFonts w:eastAsia="Calibri"/>
            <w:color w:val="365F91"/>
            <w:sz w:val="14"/>
            <w:szCs w:val="16"/>
          </w:rPr>
          <w:t>Trade register number: J40/363/1991-Fical code: 336206-IBAN</w:t>
        </w:r>
        <w:r w:rsidRPr="00595F45">
          <w:rPr>
            <w:rFonts w:eastAsia="Calibri"/>
            <w:color w:val="365F91"/>
            <w:spacing w:val="6"/>
            <w:sz w:val="14"/>
            <w:szCs w:val="16"/>
          </w:rPr>
          <w:t xml:space="preserve"> RO65FTSB6448700041001RON - BNP Paribas, Bucharest, Romania</w:t>
        </w:r>
      </w:p>
      <w:p w:rsidR="00CE2E60" w:rsidRPr="008E0E53" w:rsidRDefault="00CE2E60" w:rsidP="008E0E53">
        <w:pPr>
          <w:pStyle w:val="Footer"/>
          <w:pBdr>
            <w:top w:val="single" w:sz="4" w:space="1" w:color="auto"/>
          </w:pBd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8E0E53">
          <w:rPr>
            <w:rFonts w:ascii="Arial" w:hAnsi="Arial" w:cs="Arial"/>
            <w:sz w:val="20"/>
            <w:szCs w:val="20"/>
          </w:rPr>
          <w:fldChar w:fldCharType="begin"/>
        </w:r>
        <w:r w:rsidRPr="008E0E5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E0E53">
          <w:rPr>
            <w:rFonts w:ascii="Arial" w:hAnsi="Arial" w:cs="Arial"/>
            <w:sz w:val="20"/>
            <w:szCs w:val="20"/>
          </w:rPr>
          <w:fldChar w:fldCharType="separate"/>
        </w:r>
        <w:r w:rsidR="00EE3398">
          <w:rPr>
            <w:rFonts w:ascii="Arial" w:hAnsi="Arial" w:cs="Arial"/>
            <w:noProof/>
            <w:sz w:val="20"/>
            <w:szCs w:val="20"/>
          </w:rPr>
          <w:t>7</w:t>
        </w:r>
        <w:r w:rsidRPr="008E0E5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0" w:rsidRPr="00595F45" w:rsidRDefault="00CE2E60" w:rsidP="00986EC0">
    <w:pPr>
      <w:spacing w:after="0" w:line="240" w:lineRule="auto"/>
      <w:rPr>
        <w:rFonts w:eastAsia="Calibri"/>
        <w:color w:val="365F91"/>
        <w:sz w:val="14"/>
        <w:szCs w:val="16"/>
      </w:rPr>
    </w:pPr>
    <w:r w:rsidRPr="00595F45">
      <w:rPr>
        <w:noProof/>
        <w:sz w:val="8"/>
        <w:szCs w:val="10"/>
      </w:rPr>
      <w:drawing>
        <wp:anchor distT="0" distB="0" distL="114300" distR="114300" simplePos="0" relativeHeight="251664384" behindDoc="1" locked="0" layoutInCell="1" allowOverlap="1" wp14:anchorId="42040FA9" wp14:editId="30D99B97">
          <wp:simplePos x="0" y="0"/>
          <wp:positionH relativeFrom="column">
            <wp:posOffset>4844235</wp:posOffset>
          </wp:positionH>
          <wp:positionV relativeFrom="paragraph">
            <wp:posOffset>-253868</wp:posOffset>
          </wp:positionV>
          <wp:extent cx="1627505" cy="926465"/>
          <wp:effectExtent l="0" t="0" r="0" b="6985"/>
          <wp:wrapTight wrapText="bothSides">
            <wp:wrapPolygon edited="0">
              <wp:start x="20479" y="0"/>
              <wp:lineTo x="11124" y="888"/>
              <wp:lineTo x="7332" y="3109"/>
              <wp:lineTo x="6574" y="14212"/>
              <wp:lineTo x="0" y="20875"/>
              <wp:lineTo x="0" y="21319"/>
              <wp:lineTo x="21238" y="21319"/>
              <wp:lineTo x="21238" y="0"/>
              <wp:lineTo x="20479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F45">
      <w:rPr>
        <w:rFonts w:eastAsia="Calibri"/>
        <w:b/>
        <w:color w:val="365F91"/>
        <w:sz w:val="14"/>
        <w:szCs w:val="16"/>
      </w:rPr>
      <w:t>Zentiva s.a.-</w:t>
    </w:r>
    <w:r w:rsidRPr="00595F45">
      <w:rPr>
        <w:rFonts w:eastAsia="Calibri"/>
        <w:color w:val="365F91"/>
        <w:sz w:val="14"/>
        <w:szCs w:val="16"/>
      </w:rPr>
      <w:t xml:space="preserve">50 Theodor Pallady Blvd. - 032266 Bucharest – Romania                                                                                                                                        </w:t>
    </w:r>
  </w:p>
  <w:p w:rsidR="00CE2E60" w:rsidRPr="00595F45" w:rsidRDefault="00442EC7" w:rsidP="00986EC0">
    <w:pPr>
      <w:spacing w:after="0" w:line="240" w:lineRule="auto"/>
      <w:rPr>
        <w:rFonts w:eastAsia="Calibri"/>
        <w:color w:val="365F91"/>
        <w:sz w:val="14"/>
        <w:szCs w:val="16"/>
      </w:rPr>
    </w:pPr>
    <w:hyperlink r:id="rId2" w:history="1">
      <w:r w:rsidR="00CE2E60" w:rsidRPr="00595F45">
        <w:rPr>
          <w:rStyle w:val="Hyperlink"/>
          <w:rFonts w:eastAsia="Calibri"/>
          <w:color w:val="365F91"/>
          <w:sz w:val="14"/>
          <w:szCs w:val="16"/>
        </w:rPr>
        <w:t>Tel:(+40)21</w:t>
      </w:r>
    </w:hyperlink>
    <w:r w:rsidR="00CE2E60" w:rsidRPr="00595F45">
      <w:rPr>
        <w:rFonts w:eastAsia="Calibri"/>
        <w:color w:val="365F91"/>
        <w:sz w:val="14"/>
        <w:szCs w:val="16"/>
      </w:rPr>
      <w:t xml:space="preserve"> 304 71.29- Fax :( +40)21 345 40.04-E-mail:office@zentiva.ro-www.zentiva.ro</w:t>
    </w:r>
  </w:p>
  <w:p w:rsidR="00CE2E60" w:rsidRPr="00595F45" w:rsidRDefault="00CE2E60" w:rsidP="00986EC0">
    <w:pPr>
      <w:spacing w:after="0" w:line="240" w:lineRule="auto"/>
      <w:rPr>
        <w:sz w:val="20"/>
      </w:rPr>
    </w:pPr>
    <w:r w:rsidRPr="00595F45">
      <w:rPr>
        <w:rFonts w:eastAsia="Calibri"/>
        <w:color w:val="365F91"/>
        <w:sz w:val="14"/>
        <w:szCs w:val="16"/>
      </w:rPr>
      <w:t>Trade register number: J40/363/1991-Fical code: 336206-IBAN</w:t>
    </w:r>
    <w:r w:rsidRPr="00595F45">
      <w:rPr>
        <w:rFonts w:eastAsia="Calibri"/>
        <w:color w:val="365F91"/>
        <w:spacing w:val="6"/>
        <w:sz w:val="14"/>
        <w:szCs w:val="16"/>
      </w:rPr>
      <w:t xml:space="preserve"> RO65FTSB6448700041001RON - BNP Paribas, Bucharest, Romania</w:t>
    </w:r>
  </w:p>
  <w:p w:rsidR="00CE2E60" w:rsidRDefault="00CE2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C7" w:rsidRDefault="00442EC7">
      <w:r>
        <w:separator/>
      </w:r>
    </w:p>
  </w:footnote>
  <w:footnote w:type="continuationSeparator" w:id="0">
    <w:p w:rsidR="00442EC7" w:rsidRDefault="00442EC7">
      <w:r>
        <w:continuationSeparator/>
      </w:r>
    </w:p>
  </w:footnote>
  <w:footnote w:type="continuationNotice" w:id="1">
    <w:p w:rsidR="00442EC7" w:rsidRDefault="00442E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0" w:rsidRDefault="00CE2E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FB219" wp14:editId="7B20520E">
          <wp:simplePos x="0" y="0"/>
          <wp:positionH relativeFrom="column">
            <wp:posOffset>-1074072</wp:posOffset>
          </wp:positionH>
          <wp:positionV relativeFrom="paragraph">
            <wp:posOffset>-455942</wp:posOffset>
          </wp:positionV>
          <wp:extent cx="7690485" cy="10139680"/>
          <wp:effectExtent l="0" t="0" r="5715" b="0"/>
          <wp:wrapNone/>
          <wp:docPr id="2" name="Picture 2" descr="mail_r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l_r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8"/>
                  <a:stretch>
                    <a:fillRect/>
                  </a:stretch>
                </pic:blipFill>
                <pic:spPr bwMode="auto">
                  <a:xfrm>
                    <a:off x="0" y="0"/>
                    <a:ext cx="7690485" cy="1013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0" w:rsidRDefault="00CE2E60">
    <w:pPr>
      <w:pStyle w:val="Header"/>
    </w:pPr>
    <w:r>
      <w:rPr>
        <w:noProof/>
      </w:rPr>
      <w:drawing>
        <wp:inline distT="0" distB="0" distL="0" distR="0" wp14:anchorId="52173DB3">
          <wp:extent cx="2048510" cy="359410"/>
          <wp:effectExtent l="0" t="0" r="889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0" w:rsidRDefault="00CE2E60" w:rsidP="00B97E34">
    <w:pPr>
      <w:pStyle w:val="Header"/>
    </w:pPr>
    <w:r>
      <w:rPr>
        <w:noProof/>
      </w:rPr>
      <w:drawing>
        <wp:inline distT="0" distB="0" distL="0" distR="0" wp14:anchorId="23708114">
          <wp:extent cx="2048510" cy="359410"/>
          <wp:effectExtent l="0" t="0" r="889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470"/>
    <w:multiLevelType w:val="multilevel"/>
    <w:tmpl w:val="80A81EB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F2BFD"/>
    <w:multiLevelType w:val="multilevel"/>
    <w:tmpl w:val="57EA04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1849BE"/>
    <w:multiLevelType w:val="hybridMultilevel"/>
    <w:tmpl w:val="633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72C0"/>
    <w:multiLevelType w:val="hybridMultilevel"/>
    <w:tmpl w:val="F9640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2FA7"/>
    <w:multiLevelType w:val="hybridMultilevel"/>
    <w:tmpl w:val="F71A5828"/>
    <w:lvl w:ilvl="0" w:tplc="8B3278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70AE"/>
    <w:multiLevelType w:val="hybridMultilevel"/>
    <w:tmpl w:val="3B661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00A2"/>
    <w:multiLevelType w:val="multilevel"/>
    <w:tmpl w:val="5FFA841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B350DC"/>
    <w:multiLevelType w:val="multilevel"/>
    <w:tmpl w:val="43B0351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F751F1"/>
    <w:multiLevelType w:val="hybridMultilevel"/>
    <w:tmpl w:val="2AF41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13B23"/>
    <w:multiLevelType w:val="hybridMultilevel"/>
    <w:tmpl w:val="C400BC90"/>
    <w:lvl w:ilvl="0" w:tplc="E95E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27186"/>
    <w:multiLevelType w:val="hybridMultilevel"/>
    <w:tmpl w:val="D3AA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636AF"/>
    <w:multiLevelType w:val="multilevel"/>
    <w:tmpl w:val="43B0351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B311B2"/>
    <w:multiLevelType w:val="multilevel"/>
    <w:tmpl w:val="F72AB9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1A62FA"/>
    <w:multiLevelType w:val="multilevel"/>
    <w:tmpl w:val="80A81EB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DE1DA2"/>
    <w:multiLevelType w:val="hybridMultilevel"/>
    <w:tmpl w:val="ED987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3C75"/>
    <w:multiLevelType w:val="multilevel"/>
    <w:tmpl w:val="198675C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9818DE"/>
    <w:multiLevelType w:val="hybridMultilevel"/>
    <w:tmpl w:val="7E9820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F2A1063"/>
    <w:multiLevelType w:val="multilevel"/>
    <w:tmpl w:val="AEE2CA9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2F947C4F"/>
    <w:multiLevelType w:val="multilevel"/>
    <w:tmpl w:val="80A81EB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764729"/>
    <w:multiLevelType w:val="multilevel"/>
    <w:tmpl w:val="F72AB9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264A06"/>
    <w:multiLevelType w:val="multilevel"/>
    <w:tmpl w:val="5FFA841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742407"/>
    <w:multiLevelType w:val="hybridMultilevel"/>
    <w:tmpl w:val="23F2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81C63"/>
    <w:multiLevelType w:val="hybridMultilevel"/>
    <w:tmpl w:val="5C4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4E97"/>
    <w:multiLevelType w:val="multilevel"/>
    <w:tmpl w:val="43B0351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46676"/>
    <w:multiLevelType w:val="hybridMultilevel"/>
    <w:tmpl w:val="193C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D91"/>
    <w:multiLevelType w:val="multilevel"/>
    <w:tmpl w:val="57EA04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CB49CE"/>
    <w:multiLevelType w:val="hybridMultilevel"/>
    <w:tmpl w:val="10087688"/>
    <w:lvl w:ilvl="0" w:tplc="429A7724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B78CF"/>
    <w:multiLevelType w:val="multilevel"/>
    <w:tmpl w:val="5FFA841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951702"/>
    <w:multiLevelType w:val="hybridMultilevel"/>
    <w:tmpl w:val="A0F419F2"/>
    <w:lvl w:ilvl="0" w:tplc="E95E544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74C51E2"/>
    <w:multiLevelType w:val="multilevel"/>
    <w:tmpl w:val="43B0351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784400"/>
    <w:multiLevelType w:val="multilevel"/>
    <w:tmpl w:val="43B0351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B00939"/>
    <w:multiLevelType w:val="multilevel"/>
    <w:tmpl w:val="5FFA841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D3619F"/>
    <w:multiLevelType w:val="multilevel"/>
    <w:tmpl w:val="80A81EB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B60AC5"/>
    <w:multiLevelType w:val="hybridMultilevel"/>
    <w:tmpl w:val="E2DA8962"/>
    <w:lvl w:ilvl="0" w:tplc="B55AAA96">
      <w:start w:val="7"/>
      <w:numFmt w:val="bullet"/>
      <w:lvlText w:val="•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8C7751C"/>
    <w:multiLevelType w:val="multilevel"/>
    <w:tmpl w:val="5FFA841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2321BA"/>
    <w:multiLevelType w:val="multilevel"/>
    <w:tmpl w:val="57EA04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EA6DE0"/>
    <w:multiLevelType w:val="hybridMultilevel"/>
    <w:tmpl w:val="DF2ADB1E"/>
    <w:lvl w:ilvl="0" w:tplc="E95E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6FCE"/>
    <w:multiLevelType w:val="hybridMultilevel"/>
    <w:tmpl w:val="1184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49B9"/>
    <w:multiLevelType w:val="multilevel"/>
    <w:tmpl w:val="1CC89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5202B15"/>
    <w:multiLevelType w:val="hybridMultilevel"/>
    <w:tmpl w:val="23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0183"/>
    <w:multiLevelType w:val="multilevel"/>
    <w:tmpl w:val="198675C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37"/>
  </w:num>
  <w:num w:numId="4">
    <w:abstractNumId w:val="2"/>
  </w:num>
  <w:num w:numId="5">
    <w:abstractNumId w:val="4"/>
  </w:num>
  <w:num w:numId="6">
    <w:abstractNumId w:val="38"/>
  </w:num>
  <w:num w:numId="7">
    <w:abstractNumId w:val="14"/>
  </w:num>
  <w:num w:numId="8">
    <w:abstractNumId w:val="3"/>
  </w:num>
  <w:num w:numId="9">
    <w:abstractNumId w:val="3"/>
  </w:num>
  <w:num w:numId="10">
    <w:abstractNumId w:val="22"/>
  </w:num>
  <w:num w:numId="11">
    <w:abstractNumId w:val="1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1"/>
  </w:num>
  <w:num w:numId="17">
    <w:abstractNumId w:val="23"/>
  </w:num>
  <w:num w:numId="18">
    <w:abstractNumId w:val="29"/>
  </w:num>
  <w:num w:numId="19">
    <w:abstractNumId w:val="16"/>
  </w:num>
  <w:num w:numId="20">
    <w:abstractNumId w:val="33"/>
  </w:num>
  <w:num w:numId="21">
    <w:abstractNumId w:val="28"/>
  </w:num>
  <w:num w:numId="22">
    <w:abstractNumId w:val="30"/>
  </w:num>
  <w:num w:numId="23">
    <w:abstractNumId w:val="5"/>
  </w:num>
  <w:num w:numId="24">
    <w:abstractNumId w:val="8"/>
  </w:num>
  <w:num w:numId="25">
    <w:abstractNumId w:val="7"/>
  </w:num>
  <w:num w:numId="26">
    <w:abstractNumId w:val="36"/>
  </w:num>
  <w:num w:numId="27">
    <w:abstractNumId w:val="26"/>
  </w:num>
  <w:num w:numId="28">
    <w:abstractNumId w:val="9"/>
  </w:num>
  <w:num w:numId="29">
    <w:abstractNumId w:val="24"/>
  </w:num>
  <w:num w:numId="30">
    <w:abstractNumId w:val="11"/>
  </w:num>
  <w:num w:numId="31">
    <w:abstractNumId w:val="40"/>
  </w:num>
  <w:num w:numId="32">
    <w:abstractNumId w:val="15"/>
  </w:num>
  <w:num w:numId="33">
    <w:abstractNumId w:val="20"/>
  </w:num>
  <w:num w:numId="34">
    <w:abstractNumId w:val="27"/>
  </w:num>
  <w:num w:numId="35">
    <w:abstractNumId w:val="34"/>
  </w:num>
  <w:num w:numId="36">
    <w:abstractNumId w:val="6"/>
  </w:num>
  <w:num w:numId="37">
    <w:abstractNumId w:val="31"/>
  </w:num>
  <w:num w:numId="38">
    <w:abstractNumId w:val="13"/>
  </w:num>
  <w:num w:numId="39">
    <w:abstractNumId w:val="18"/>
  </w:num>
  <w:num w:numId="40">
    <w:abstractNumId w:val="0"/>
  </w:num>
  <w:num w:numId="41">
    <w:abstractNumId w:val="32"/>
  </w:num>
  <w:num w:numId="42">
    <w:abstractNumId w:val="1"/>
  </w:num>
  <w:num w:numId="43">
    <w:abstractNumId w:val="25"/>
  </w:num>
  <w:num w:numId="44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B8"/>
    <w:rsid w:val="00000FC1"/>
    <w:rsid w:val="00001FA0"/>
    <w:rsid w:val="0000285E"/>
    <w:rsid w:val="0000419F"/>
    <w:rsid w:val="0000486C"/>
    <w:rsid w:val="0000517C"/>
    <w:rsid w:val="0000568F"/>
    <w:rsid w:val="0000765B"/>
    <w:rsid w:val="00010A42"/>
    <w:rsid w:val="00011DD2"/>
    <w:rsid w:val="00012B6A"/>
    <w:rsid w:val="000137A0"/>
    <w:rsid w:val="0001576B"/>
    <w:rsid w:val="000161FE"/>
    <w:rsid w:val="000167A4"/>
    <w:rsid w:val="00016EFA"/>
    <w:rsid w:val="0002465C"/>
    <w:rsid w:val="00025253"/>
    <w:rsid w:val="00025C22"/>
    <w:rsid w:val="000261A1"/>
    <w:rsid w:val="0003089D"/>
    <w:rsid w:val="000313C2"/>
    <w:rsid w:val="000318C9"/>
    <w:rsid w:val="00031D28"/>
    <w:rsid w:val="00032F33"/>
    <w:rsid w:val="000331D4"/>
    <w:rsid w:val="00033902"/>
    <w:rsid w:val="00034DC6"/>
    <w:rsid w:val="0003592D"/>
    <w:rsid w:val="00035BCC"/>
    <w:rsid w:val="00036991"/>
    <w:rsid w:val="000379E2"/>
    <w:rsid w:val="0004066A"/>
    <w:rsid w:val="0004089C"/>
    <w:rsid w:val="00041D80"/>
    <w:rsid w:val="00045277"/>
    <w:rsid w:val="00045BA4"/>
    <w:rsid w:val="00046B93"/>
    <w:rsid w:val="000477E8"/>
    <w:rsid w:val="00050049"/>
    <w:rsid w:val="00051351"/>
    <w:rsid w:val="0005164E"/>
    <w:rsid w:val="00052092"/>
    <w:rsid w:val="0005313B"/>
    <w:rsid w:val="000533F4"/>
    <w:rsid w:val="00055299"/>
    <w:rsid w:val="00056221"/>
    <w:rsid w:val="000569C5"/>
    <w:rsid w:val="00056EEB"/>
    <w:rsid w:val="0006115B"/>
    <w:rsid w:val="000627CC"/>
    <w:rsid w:val="000631C9"/>
    <w:rsid w:val="000636D5"/>
    <w:rsid w:val="0006486B"/>
    <w:rsid w:val="00067ACD"/>
    <w:rsid w:val="00067BB2"/>
    <w:rsid w:val="00071502"/>
    <w:rsid w:val="0007197B"/>
    <w:rsid w:val="00073A0D"/>
    <w:rsid w:val="000746B6"/>
    <w:rsid w:val="00075966"/>
    <w:rsid w:val="00075CC8"/>
    <w:rsid w:val="0007665B"/>
    <w:rsid w:val="00077F12"/>
    <w:rsid w:val="000810BB"/>
    <w:rsid w:val="00082C0F"/>
    <w:rsid w:val="000847C6"/>
    <w:rsid w:val="00085CE5"/>
    <w:rsid w:val="00086083"/>
    <w:rsid w:val="00086FF1"/>
    <w:rsid w:val="000878F2"/>
    <w:rsid w:val="000901DE"/>
    <w:rsid w:val="00090F4E"/>
    <w:rsid w:val="00091630"/>
    <w:rsid w:val="000920CC"/>
    <w:rsid w:val="00092BDF"/>
    <w:rsid w:val="00093333"/>
    <w:rsid w:val="000933CD"/>
    <w:rsid w:val="00093B29"/>
    <w:rsid w:val="000942F1"/>
    <w:rsid w:val="0009647F"/>
    <w:rsid w:val="000A0CE8"/>
    <w:rsid w:val="000A1874"/>
    <w:rsid w:val="000A2C06"/>
    <w:rsid w:val="000A380B"/>
    <w:rsid w:val="000A4543"/>
    <w:rsid w:val="000A4A1C"/>
    <w:rsid w:val="000A5FE3"/>
    <w:rsid w:val="000A67F5"/>
    <w:rsid w:val="000A7496"/>
    <w:rsid w:val="000B097F"/>
    <w:rsid w:val="000B1083"/>
    <w:rsid w:val="000B1650"/>
    <w:rsid w:val="000B27D1"/>
    <w:rsid w:val="000B2809"/>
    <w:rsid w:val="000B344D"/>
    <w:rsid w:val="000B6760"/>
    <w:rsid w:val="000B6CE0"/>
    <w:rsid w:val="000C14EE"/>
    <w:rsid w:val="000C1A27"/>
    <w:rsid w:val="000C20C4"/>
    <w:rsid w:val="000C32C4"/>
    <w:rsid w:val="000C4DB4"/>
    <w:rsid w:val="000C5075"/>
    <w:rsid w:val="000D181C"/>
    <w:rsid w:val="000D1B42"/>
    <w:rsid w:val="000D4497"/>
    <w:rsid w:val="000D5547"/>
    <w:rsid w:val="000D62D1"/>
    <w:rsid w:val="000D67C9"/>
    <w:rsid w:val="000D7BE9"/>
    <w:rsid w:val="000E136A"/>
    <w:rsid w:val="000E1741"/>
    <w:rsid w:val="000E4DE9"/>
    <w:rsid w:val="000E54D8"/>
    <w:rsid w:val="000E7E73"/>
    <w:rsid w:val="000F0155"/>
    <w:rsid w:val="000F0213"/>
    <w:rsid w:val="000F1101"/>
    <w:rsid w:val="000F17B3"/>
    <w:rsid w:val="000F2F0F"/>
    <w:rsid w:val="000F5CC6"/>
    <w:rsid w:val="000F6ED8"/>
    <w:rsid w:val="000F6F8A"/>
    <w:rsid w:val="001008FF"/>
    <w:rsid w:val="00100914"/>
    <w:rsid w:val="00101CCC"/>
    <w:rsid w:val="0010314B"/>
    <w:rsid w:val="00103517"/>
    <w:rsid w:val="001035C8"/>
    <w:rsid w:val="001036D6"/>
    <w:rsid w:val="00107854"/>
    <w:rsid w:val="00110299"/>
    <w:rsid w:val="00110FDE"/>
    <w:rsid w:val="0011114A"/>
    <w:rsid w:val="0011178D"/>
    <w:rsid w:val="00113499"/>
    <w:rsid w:val="0011411F"/>
    <w:rsid w:val="0012191C"/>
    <w:rsid w:val="001226DE"/>
    <w:rsid w:val="0012275A"/>
    <w:rsid w:val="0012292C"/>
    <w:rsid w:val="00122DFC"/>
    <w:rsid w:val="0012357D"/>
    <w:rsid w:val="00123F1C"/>
    <w:rsid w:val="001306B6"/>
    <w:rsid w:val="00130CB5"/>
    <w:rsid w:val="00130E84"/>
    <w:rsid w:val="001314D5"/>
    <w:rsid w:val="001329D4"/>
    <w:rsid w:val="0013380D"/>
    <w:rsid w:val="00134E46"/>
    <w:rsid w:val="001350EF"/>
    <w:rsid w:val="00137746"/>
    <w:rsid w:val="00142460"/>
    <w:rsid w:val="00146628"/>
    <w:rsid w:val="00151988"/>
    <w:rsid w:val="001519A8"/>
    <w:rsid w:val="001576A3"/>
    <w:rsid w:val="001576F9"/>
    <w:rsid w:val="00157729"/>
    <w:rsid w:val="00161427"/>
    <w:rsid w:val="00161BAE"/>
    <w:rsid w:val="00162891"/>
    <w:rsid w:val="001631A6"/>
    <w:rsid w:val="0016425A"/>
    <w:rsid w:val="001652E0"/>
    <w:rsid w:val="00167255"/>
    <w:rsid w:val="00167EFD"/>
    <w:rsid w:val="001726B7"/>
    <w:rsid w:val="00173476"/>
    <w:rsid w:val="00177C1F"/>
    <w:rsid w:val="00183CDB"/>
    <w:rsid w:val="00185B66"/>
    <w:rsid w:val="00185EDC"/>
    <w:rsid w:val="00193964"/>
    <w:rsid w:val="0019767B"/>
    <w:rsid w:val="00197DC9"/>
    <w:rsid w:val="001A00E8"/>
    <w:rsid w:val="001A0F82"/>
    <w:rsid w:val="001A2117"/>
    <w:rsid w:val="001A2931"/>
    <w:rsid w:val="001A2942"/>
    <w:rsid w:val="001A5545"/>
    <w:rsid w:val="001A570E"/>
    <w:rsid w:val="001A67C9"/>
    <w:rsid w:val="001B0601"/>
    <w:rsid w:val="001B1258"/>
    <w:rsid w:val="001B16FF"/>
    <w:rsid w:val="001B27AF"/>
    <w:rsid w:val="001B2C69"/>
    <w:rsid w:val="001B5451"/>
    <w:rsid w:val="001B7AEA"/>
    <w:rsid w:val="001B7CC9"/>
    <w:rsid w:val="001C063B"/>
    <w:rsid w:val="001C2ACA"/>
    <w:rsid w:val="001C388F"/>
    <w:rsid w:val="001C4376"/>
    <w:rsid w:val="001C5D84"/>
    <w:rsid w:val="001C6C1D"/>
    <w:rsid w:val="001C70E5"/>
    <w:rsid w:val="001D214A"/>
    <w:rsid w:val="001D73B4"/>
    <w:rsid w:val="001D74FF"/>
    <w:rsid w:val="001E1C1E"/>
    <w:rsid w:val="001E4920"/>
    <w:rsid w:val="001E4FE4"/>
    <w:rsid w:val="001E5014"/>
    <w:rsid w:val="001E50E7"/>
    <w:rsid w:val="001E5898"/>
    <w:rsid w:val="001E591D"/>
    <w:rsid w:val="001E5F63"/>
    <w:rsid w:val="001E7EC6"/>
    <w:rsid w:val="001F075C"/>
    <w:rsid w:val="001F152D"/>
    <w:rsid w:val="001F2CEE"/>
    <w:rsid w:val="001F4057"/>
    <w:rsid w:val="001F4119"/>
    <w:rsid w:val="001F5E26"/>
    <w:rsid w:val="00201076"/>
    <w:rsid w:val="00201A1F"/>
    <w:rsid w:val="00201F52"/>
    <w:rsid w:val="00202F46"/>
    <w:rsid w:val="002054CF"/>
    <w:rsid w:val="0020776D"/>
    <w:rsid w:val="002101A9"/>
    <w:rsid w:val="002102DC"/>
    <w:rsid w:val="00210446"/>
    <w:rsid w:val="00210B3E"/>
    <w:rsid w:val="00211F6B"/>
    <w:rsid w:val="00212360"/>
    <w:rsid w:val="002146B7"/>
    <w:rsid w:val="00214AD3"/>
    <w:rsid w:val="002154AD"/>
    <w:rsid w:val="00217B46"/>
    <w:rsid w:val="00220BD8"/>
    <w:rsid w:val="002257B7"/>
    <w:rsid w:val="00225C12"/>
    <w:rsid w:val="00226704"/>
    <w:rsid w:val="00230D0C"/>
    <w:rsid w:val="00231050"/>
    <w:rsid w:val="002323F8"/>
    <w:rsid w:val="002324A1"/>
    <w:rsid w:val="0023453B"/>
    <w:rsid w:val="002349F7"/>
    <w:rsid w:val="0023500B"/>
    <w:rsid w:val="0023667C"/>
    <w:rsid w:val="0024115A"/>
    <w:rsid w:val="0024347F"/>
    <w:rsid w:val="00243EBA"/>
    <w:rsid w:val="002455F7"/>
    <w:rsid w:val="002456A0"/>
    <w:rsid w:val="002459DD"/>
    <w:rsid w:val="0024668E"/>
    <w:rsid w:val="00247904"/>
    <w:rsid w:val="00250075"/>
    <w:rsid w:val="00250AE5"/>
    <w:rsid w:val="00252B33"/>
    <w:rsid w:val="00252DFC"/>
    <w:rsid w:val="00254B54"/>
    <w:rsid w:val="0025662A"/>
    <w:rsid w:val="0026052A"/>
    <w:rsid w:val="00261747"/>
    <w:rsid w:val="00261DAA"/>
    <w:rsid w:val="00262D89"/>
    <w:rsid w:val="002636A0"/>
    <w:rsid w:val="00264454"/>
    <w:rsid w:val="002655EF"/>
    <w:rsid w:val="00265BEF"/>
    <w:rsid w:val="00266C43"/>
    <w:rsid w:val="00266DF5"/>
    <w:rsid w:val="002671F7"/>
    <w:rsid w:val="0026769E"/>
    <w:rsid w:val="002701ED"/>
    <w:rsid w:val="002733B9"/>
    <w:rsid w:val="002748A1"/>
    <w:rsid w:val="00274C2A"/>
    <w:rsid w:val="00275084"/>
    <w:rsid w:val="0027539D"/>
    <w:rsid w:val="00277F63"/>
    <w:rsid w:val="00280668"/>
    <w:rsid w:val="0028107C"/>
    <w:rsid w:val="00281D65"/>
    <w:rsid w:val="0028340A"/>
    <w:rsid w:val="002845DA"/>
    <w:rsid w:val="002859D7"/>
    <w:rsid w:val="002863D3"/>
    <w:rsid w:val="00286A92"/>
    <w:rsid w:val="0028717B"/>
    <w:rsid w:val="00290B36"/>
    <w:rsid w:val="00291FF5"/>
    <w:rsid w:val="00292052"/>
    <w:rsid w:val="00292326"/>
    <w:rsid w:val="0029298D"/>
    <w:rsid w:val="00294E95"/>
    <w:rsid w:val="00294F1D"/>
    <w:rsid w:val="00296261"/>
    <w:rsid w:val="00296EB6"/>
    <w:rsid w:val="00296F2B"/>
    <w:rsid w:val="00297890"/>
    <w:rsid w:val="002A1543"/>
    <w:rsid w:val="002A2600"/>
    <w:rsid w:val="002A3081"/>
    <w:rsid w:val="002A4C80"/>
    <w:rsid w:val="002A4E9D"/>
    <w:rsid w:val="002A772B"/>
    <w:rsid w:val="002B4E3E"/>
    <w:rsid w:val="002B4FDC"/>
    <w:rsid w:val="002B6A82"/>
    <w:rsid w:val="002C3C22"/>
    <w:rsid w:val="002C437C"/>
    <w:rsid w:val="002C55E2"/>
    <w:rsid w:val="002C5AFA"/>
    <w:rsid w:val="002C69F8"/>
    <w:rsid w:val="002D0F85"/>
    <w:rsid w:val="002D2D14"/>
    <w:rsid w:val="002D3895"/>
    <w:rsid w:val="002D3BA8"/>
    <w:rsid w:val="002D62FD"/>
    <w:rsid w:val="002E0CC2"/>
    <w:rsid w:val="002F1621"/>
    <w:rsid w:val="002F2402"/>
    <w:rsid w:val="002F2628"/>
    <w:rsid w:val="002F27DE"/>
    <w:rsid w:val="002F4011"/>
    <w:rsid w:val="002F4B9F"/>
    <w:rsid w:val="002F5DDA"/>
    <w:rsid w:val="002F5E27"/>
    <w:rsid w:val="002F70C2"/>
    <w:rsid w:val="00301F0D"/>
    <w:rsid w:val="0030349F"/>
    <w:rsid w:val="003039D0"/>
    <w:rsid w:val="00303CFA"/>
    <w:rsid w:val="00306118"/>
    <w:rsid w:val="00306589"/>
    <w:rsid w:val="003066BA"/>
    <w:rsid w:val="00306747"/>
    <w:rsid w:val="0031097D"/>
    <w:rsid w:val="003114C0"/>
    <w:rsid w:val="003117E8"/>
    <w:rsid w:val="00312A41"/>
    <w:rsid w:val="0031307E"/>
    <w:rsid w:val="0031499A"/>
    <w:rsid w:val="00314A0D"/>
    <w:rsid w:val="003161CB"/>
    <w:rsid w:val="00316484"/>
    <w:rsid w:val="00317072"/>
    <w:rsid w:val="00317F5C"/>
    <w:rsid w:val="0032069A"/>
    <w:rsid w:val="00323897"/>
    <w:rsid w:val="00325475"/>
    <w:rsid w:val="00325CE3"/>
    <w:rsid w:val="0032626C"/>
    <w:rsid w:val="00326720"/>
    <w:rsid w:val="00327CA7"/>
    <w:rsid w:val="0033075A"/>
    <w:rsid w:val="0033142B"/>
    <w:rsid w:val="003363E2"/>
    <w:rsid w:val="0033690C"/>
    <w:rsid w:val="00336BA5"/>
    <w:rsid w:val="00336D33"/>
    <w:rsid w:val="00336EA4"/>
    <w:rsid w:val="00337614"/>
    <w:rsid w:val="00340E42"/>
    <w:rsid w:val="00341BB6"/>
    <w:rsid w:val="00342D9E"/>
    <w:rsid w:val="003434C8"/>
    <w:rsid w:val="00344DDE"/>
    <w:rsid w:val="003471A6"/>
    <w:rsid w:val="0034735C"/>
    <w:rsid w:val="0035181E"/>
    <w:rsid w:val="003521E8"/>
    <w:rsid w:val="00352EEE"/>
    <w:rsid w:val="00353F0D"/>
    <w:rsid w:val="003543FC"/>
    <w:rsid w:val="00354435"/>
    <w:rsid w:val="003548FF"/>
    <w:rsid w:val="0035563A"/>
    <w:rsid w:val="00356FFB"/>
    <w:rsid w:val="003601BA"/>
    <w:rsid w:val="00360462"/>
    <w:rsid w:val="0036098E"/>
    <w:rsid w:val="0036129C"/>
    <w:rsid w:val="003614F7"/>
    <w:rsid w:val="003629B7"/>
    <w:rsid w:val="00362C0E"/>
    <w:rsid w:val="00366122"/>
    <w:rsid w:val="00366C9D"/>
    <w:rsid w:val="00366FA8"/>
    <w:rsid w:val="003715E6"/>
    <w:rsid w:val="003722A7"/>
    <w:rsid w:val="00373B2B"/>
    <w:rsid w:val="003742F0"/>
    <w:rsid w:val="00376DD2"/>
    <w:rsid w:val="003772E1"/>
    <w:rsid w:val="0037760F"/>
    <w:rsid w:val="0038044F"/>
    <w:rsid w:val="003829EE"/>
    <w:rsid w:val="0038307E"/>
    <w:rsid w:val="003840FD"/>
    <w:rsid w:val="003846E1"/>
    <w:rsid w:val="00385B05"/>
    <w:rsid w:val="00386938"/>
    <w:rsid w:val="00387808"/>
    <w:rsid w:val="00387F9C"/>
    <w:rsid w:val="003900CE"/>
    <w:rsid w:val="003907B0"/>
    <w:rsid w:val="003912CC"/>
    <w:rsid w:val="0039387E"/>
    <w:rsid w:val="00394200"/>
    <w:rsid w:val="00394F09"/>
    <w:rsid w:val="003A000B"/>
    <w:rsid w:val="003A0054"/>
    <w:rsid w:val="003A3D5F"/>
    <w:rsid w:val="003A4D55"/>
    <w:rsid w:val="003A5DAC"/>
    <w:rsid w:val="003A6CBD"/>
    <w:rsid w:val="003A7210"/>
    <w:rsid w:val="003A7383"/>
    <w:rsid w:val="003B10F8"/>
    <w:rsid w:val="003B2CF0"/>
    <w:rsid w:val="003B3150"/>
    <w:rsid w:val="003B3A7E"/>
    <w:rsid w:val="003B42E6"/>
    <w:rsid w:val="003B54E9"/>
    <w:rsid w:val="003B656F"/>
    <w:rsid w:val="003B691B"/>
    <w:rsid w:val="003C0C0D"/>
    <w:rsid w:val="003C29F1"/>
    <w:rsid w:val="003C431F"/>
    <w:rsid w:val="003C4B55"/>
    <w:rsid w:val="003C508E"/>
    <w:rsid w:val="003C69F1"/>
    <w:rsid w:val="003D2E3A"/>
    <w:rsid w:val="003D3462"/>
    <w:rsid w:val="003D4490"/>
    <w:rsid w:val="003D4D39"/>
    <w:rsid w:val="003D6A01"/>
    <w:rsid w:val="003D7FF2"/>
    <w:rsid w:val="003E1F26"/>
    <w:rsid w:val="003E20C7"/>
    <w:rsid w:val="003E2424"/>
    <w:rsid w:val="003E71BA"/>
    <w:rsid w:val="003F1F61"/>
    <w:rsid w:val="003F20BC"/>
    <w:rsid w:val="003F283C"/>
    <w:rsid w:val="003F3664"/>
    <w:rsid w:val="003F4602"/>
    <w:rsid w:val="003F4757"/>
    <w:rsid w:val="003F558E"/>
    <w:rsid w:val="003F592B"/>
    <w:rsid w:val="003F7EEE"/>
    <w:rsid w:val="004019F9"/>
    <w:rsid w:val="00401A1C"/>
    <w:rsid w:val="00401D38"/>
    <w:rsid w:val="0040324F"/>
    <w:rsid w:val="00405CC2"/>
    <w:rsid w:val="00406CDF"/>
    <w:rsid w:val="00406F85"/>
    <w:rsid w:val="00407B2E"/>
    <w:rsid w:val="00411737"/>
    <w:rsid w:val="00411B14"/>
    <w:rsid w:val="00412241"/>
    <w:rsid w:val="0041264E"/>
    <w:rsid w:val="00413E69"/>
    <w:rsid w:val="004229DB"/>
    <w:rsid w:val="00430457"/>
    <w:rsid w:val="004305BA"/>
    <w:rsid w:val="00431D26"/>
    <w:rsid w:val="00432D1D"/>
    <w:rsid w:val="00440068"/>
    <w:rsid w:val="00442052"/>
    <w:rsid w:val="004423A2"/>
    <w:rsid w:val="00442A6B"/>
    <w:rsid w:val="00442EC7"/>
    <w:rsid w:val="004447C2"/>
    <w:rsid w:val="0044679D"/>
    <w:rsid w:val="00450F07"/>
    <w:rsid w:val="0045297C"/>
    <w:rsid w:val="00452ED5"/>
    <w:rsid w:val="004542AC"/>
    <w:rsid w:val="00461DDC"/>
    <w:rsid w:val="00462383"/>
    <w:rsid w:val="00462BA0"/>
    <w:rsid w:val="004634E9"/>
    <w:rsid w:val="00464691"/>
    <w:rsid w:val="00464888"/>
    <w:rsid w:val="004670E5"/>
    <w:rsid w:val="0046777B"/>
    <w:rsid w:val="004711DD"/>
    <w:rsid w:val="004719C0"/>
    <w:rsid w:val="00472A82"/>
    <w:rsid w:val="004738FE"/>
    <w:rsid w:val="00474317"/>
    <w:rsid w:val="004755CB"/>
    <w:rsid w:val="0047760B"/>
    <w:rsid w:val="00477756"/>
    <w:rsid w:val="00483699"/>
    <w:rsid w:val="00483707"/>
    <w:rsid w:val="0048403D"/>
    <w:rsid w:val="0048607F"/>
    <w:rsid w:val="00487A54"/>
    <w:rsid w:val="00487B5C"/>
    <w:rsid w:val="00493F14"/>
    <w:rsid w:val="00494189"/>
    <w:rsid w:val="00494249"/>
    <w:rsid w:val="004945DC"/>
    <w:rsid w:val="00494A97"/>
    <w:rsid w:val="0049623F"/>
    <w:rsid w:val="004A1192"/>
    <w:rsid w:val="004A13C4"/>
    <w:rsid w:val="004A2BC0"/>
    <w:rsid w:val="004A4B26"/>
    <w:rsid w:val="004A7EB2"/>
    <w:rsid w:val="004B145C"/>
    <w:rsid w:val="004B21A6"/>
    <w:rsid w:val="004B245B"/>
    <w:rsid w:val="004B2547"/>
    <w:rsid w:val="004B3F4F"/>
    <w:rsid w:val="004B4E54"/>
    <w:rsid w:val="004B50B6"/>
    <w:rsid w:val="004B5617"/>
    <w:rsid w:val="004B622D"/>
    <w:rsid w:val="004B77DC"/>
    <w:rsid w:val="004B7BD4"/>
    <w:rsid w:val="004B7D87"/>
    <w:rsid w:val="004C0B49"/>
    <w:rsid w:val="004C1346"/>
    <w:rsid w:val="004C1D19"/>
    <w:rsid w:val="004C1E5C"/>
    <w:rsid w:val="004C1FB6"/>
    <w:rsid w:val="004C2423"/>
    <w:rsid w:val="004C2D2C"/>
    <w:rsid w:val="004C3ED8"/>
    <w:rsid w:val="004C562E"/>
    <w:rsid w:val="004C5A78"/>
    <w:rsid w:val="004C65A9"/>
    <w:rsid w:val="004C66DC"/>
    <w:rsid w:val="004D0670"/>
    <w:rsid w:val="004D1A92"/>
    <w:rsid w:val="004D2275"/>
    <w:rsid w:val="004D4887"/>
    <w:rsid w:val="004D5A99"/>
    <w:rsid w:val="004D5CD1"/>
    <w:rsid w:val="004D646B"/>
    <w:rsid w:val="004D66BC"/>
    <w:rsid w:val="004D6A9B"/>
    <w:rsid w:val="004E21A3"/>
    <w:rsid w:val="004E55B2"/>
    <w:rsid w:val="004E5ED1"/>
    <w:rsid w:val="004E75A2"/>
    <w:rsid w:val="004F06D4"/>
    <w:rsid w:val="004F08AF"/>
    <w:rsid w:val="004F2E10"/>
    <w:rsid w:val="004F3ADD"/>
    <w:rsid w:val="004F5538"/>
    <w:rsid w:val="004F5A48"/>
    <w:rsid w:val="004F5CF4"/>
    <w:rsid w:val="004F5E7A"/>
    <w:rsid w:val="004F79B8"/>
    <w:rsid w:val="0050102A"/>
    <w:rsid w:val="00501620"/>
    <w:rsid w:val="00501871"/>
    <w:rsid w:val="005044B3"/>
    <w:rsid w:val="00505019"/>
    <w:rsid w:val="00505890"/>
    <w:rsid w:val="00505F1F"/>
    <w:rsid w:val="00507D78"/>
    <w:rsid w:val="00507E12"/>
    <w:rsid w:val="005105EB"/>
    <w:rsid w:val="0051138A"/>
    <w:rsid w:val="005156E0"/>
    <w:rsid w:val="005175B0"/>
    <w:rsid w:val="00517935"/>
    <w:rsid w:val="00522D4D"/>
    <w:rsid w:val="00523B36"/>
    <w:rsid w:val="00526020"/>
    <w:rsid w:val="00527236"/>
    <w:rsid w:val="005273DC"/>
    <w:rsid w:val="00530C2A"/>
    <w:rsid w:val="00531C02"/>
    <w:rsid w:val="00532E5C"/>
    <w:rsid w:val="00533127"/>
    <w:rsid w:val="00536C74"/>
    <w:rsid w:val="00541CD0"/>
    <w:rsid w:val="0054338A"/>
    <w:rsid w:val="00544437"/>
    <w:rsid w:val="00544C9A"/>
    <w:rsid w:val="00545A09"/>
    <w:rsid w:val="00546D07"/>
    <w:rsid w:val="00547470"/>
    <w:rsid w:val="00550F88"/>
    <w:rsid w:val="00552CEE"/>
    <w:rsid w:val="00553A14"/>
    <w:rsid w:val="00554DD3"/>
    <w:rsid w:val="00557525"/>
    <w:rsid w:val="005575D8"/>
    <w:rsid w:val="005610FE"/>
    <w:rsid w:val="005631F8"/>
    <w:rsid w:val="005634A5"/>
    <w:rsid w:val="005637E9"/>
    <w:rsid w:val="00564606"/>
    <w:rsid w:val="0056556E"/>
    <w:rsid w:val="00570270"/>
    <w:rsid w:val="00570399"/>
    <w:rsid w:val="00571600"/>
    <w:rsid w:val="00571C25"/>
    <w:rsid w:val="005729B5"/>
    <w:rsid w:val="005730DB"/>
    <w:rsid w:val="00573A65"/>
    <w:rsid w:val="00575844"/>
    <w:rsid w:val="00577A2C"/>
    <w:rsid w:val="005823B2"/>
    <w:rsid w:val="00582E6A"/>
    <w:rsid w:val="00583264"/>
    <w:rsid w:val="005836BD"/>
    <w:rsid w:val="00583A5D"/>
    <w:rsid w:val="005840BD"/>
    <w:rsid w:val="00586740"/>
    <w:rsid w:val="00586C92"/>
    <w:rsid w:val="0058700D"/>
    <w:rsid w:val="0058703D"/>
    <w:rsid w:val="00587E5A"/>
    <w:rsid w:val="005900CF"/>
    <w:rsid w:val="00591A74"/>
    <w:rsid w:val="00593925"/>
    <w:rsid w:val="005942F7"/>
    <w:rsid w:val="00594E39"/>
    <w:rsid w:val="00594F14"/>
    <w:rsid w:val="005950D9"/>
    <w:rsid w:val="00595E3E"/>
    <w:rsid w:val="005973EA"/>
    <w:rsid w:val="005A35B7"/>
    <w:rsid w:val="005A50EB"/>
    <w:rsid w:val="005A53BD"/>
    <w:rsid w:val="005A6AAC"/>
    <w:rsid w:val="005B1FBE"/>
    <w:rsid w:val="005B2B87"/>
    <w:rsid w:val="005B613D"/>
    <w:rsid w:val="005C03F7"/>
    <w:rsid w:val="005C2939"/>
    <w:rsid w:val="005C3E63"/>
    <w:rsid w:val="005C6915"/>
    <w:rsid w:val="005C7406"/>
    <w:rsid w:val="005C7725"/>
    <w:rsid w:val="005C7D7D"/>
    <w:rsid w:val="005D0487"/>
    <w:rsid w:val="005D1BC5"/>
    <w:rsid w:val="005D1F19"/>
    <w:rsid w:val="005D280C"/>
    <w:rsid w:val="005D357B"/>
    <w:rsid w:val="005D3E1F"/>
    <w:rsid w:val="005D3E8C"/>
    <w:rsid w:val="005D489C"/>
    <w:rsid w:val="005D7583"/>
    <w:rsid w:val="005E4E75"/>
    <w:rsid w:val="005E683D"/>
    <w:rsid w:val="005F0A25"/>
    <w:rsid w:val="005F2A33"/>
    <w:rsid w:val="005F2EFF"/>
    <w:rsid w:val="005F346A"/>
    <w:rsid w:val="005F3A9F"/>
    <w:rsid w:val="005F3E09"/>
    <w:rsid w:val="005F5932"/>
    <w:rsid w:val="005F6C3C"/>
    <w:rsid w:val="00600315"/>
    <w:rsid w:val="00600CD3"/>
    <w:rsid w:val="00601777"/>
    <w:rsid w:val="00601D64"/>
    <w:rsid w:val="006029A5"/>
    <w:rsid w:val="006029B3"/>
    <w:rsid w:val="00605FF3"/>
    <w:rsid w:val="0060610B"/>
    <w:rsid w:val="0060627E"/>
    <w:rsid w:val="00607594"/>
    <w:rsid w:val="00611B45"/>
    <w:rsid w:val="00611D79"/>
    <w:rsid w:val="00612975"/>
    <w:rsid w:val="00616418"/>
    <w:rsid w:val="00616735"/>
    <w:rsid w:val="00617EC2"/>
    <w:rsid w:val="00620143"/>
    <w:rsid w:val="00620890"/>
    <w:rsid w:val="00622531"/>
    <w:rsid w:val="00623337"/>
    <w:rsid w:val="006234FD"/>
    <w:rsid w:val="00624197"/>
    <w:rsid w:val="006254AF"/>
    <w:rsid w:val="00626964"/>
    <w:rsid w:val="00630095"/>
    <w:rsid w:val="0063147D"/>
    <w:rsid w:val="0063186B"/>
    <w:rsid w:val="00631DFC"/>
    <w:rsid w:val="00632677"/>
    <w:rsid w:val="00633105"/>
    <w:rsid w:val="006344A1"/>
    <w:rsid w:val="00635C37"/>
    <w:rsid w:val="0064014F"/>
    <w:rsid w:val="0064099B"/>
    <w:rsid w:val="00641C37"/>
    <w:rsid w:val="0064215E"/>
    <w:rsid w:val="00643049"/>
    <w:rsid w:val="00643094"/>
    <w:rsid w:val="00644F5F"/>
    <w:rsid w:val="00645BE8"/>
    <w:rsid w:val="00646158"/>
    <w:rsid w:val="00654D10"/>
    <w:rsid w:val="00655BBB"/>
    <w:rsid w:val="006563ED"/>
    <w:rsid w:val="006628F3"/>
    <w:rsid w:val="00662C3F"/>
    <w:rsid w:val="0066322E"/>
    <w:rsid w:val="00664C68"/>
    <w:rsid w:val="0066509D"/>
    <w:rsid w:val="00665CBA"/>
    <w:rsid w:val="00667670"/>
    <w:rsid w:val="00670902"/>
    <w:rsid w:val="00671B23"/>
    <w:rsid w:val="00673D92"/>
    <w:rsid w:val="006747F2"/>
    <w:rsid w:val="00675925"/>
    <w:rsid w:val="00675E15"/>
    <w:rsid w:val="00676D8D"/>
    <w:rsid w:val="00677DC7"/>
    <w:rsid w:val="006839A7"/>
    <w:rsid w:val="00684628"/>
    <w:rsid w:val="00686D09"/>
    <w:rsid w:val="006906DE"/>
    <w:rsid w:val="00690794"/>
    <w:rsid w:val="006910D4"/>
    <w:rsid w:val="006926FD"/>
    <w:rsid w:val="006936D9"/>
    <w:rsid w:val="0069478C"/>
    <w:rsid w:val="00694DBF"/>
    <w:rsid w:val="0069527E"/>
    <w:rsid w:val="00695401"/>
    <w:rsid w:val="00696512"/>
    <w:rsid w:val="00696F49"/>
    <w:rsid w:val="006B4FA5"/>
    <w:rsid w:val="006C2303"/>
    <w:rsid w:val="006C24B2"/>
    <w:rsid w:val="006C3AA6"/>
    <w:rsid w:val="006C5033"/>
    <w:rsid w:val="006C5A0B"/>
    <w:rsid w:val="006C5AD2"/>
    <w:rsid w:val="006C5EAE"/>
    <w:rsid w:val="006C69BD"/>
    <w:rsid w:val="006C78B3"/>
    <w:rsid w:val="006C7EEB"/>
    <w:rsid w:val="006D12A6"/>
    <w:rsid w:val="006D254C"/>
    <w:rsid w:val="006D2F4C"/>
    <w:rsid w:val="006D2F9C"/>
    <w:rsid w:val="006D357B"/>
    <w:rsid w:val="006D3BC4"/>
    <w:rsid w:val="006D6288"/>
    <w:rsid w:val="006D6550"/>
    <w:rsid w:val="006E285A"/>
    <w:rsid w:val="006E319D"/>
    <w:rsid w:val="006E544A"/>
    <w:rsid w:val="006E5FFF"/>
    <w:rsid w:val="006E6BFD"/>
    <w:rsid w:val="006E7F02"/>
    <w:rsid w:val="006F092D"/>
    <w:rsid w:val="006F0B72"/>
    <w:rsid w:val="006F145D"/>
    <w:rsid w:val="006F239C"/>
    <w:rsid w:val="006F5E7B"/>
    <w:rsid w:val="006F7A0A"/>
    <w:rsid w:val="007002F3"/>
    <w:rsid w:val="00700547"/>
    <w:rsid w:val="00702A5F"/>
    <w:rsid w:val="007036F9"/>
    <w:rsid w:val="0070438F"/>
    <w:rsid w:val="007059D3"/>
    <w:rsid w:val="00710110"/>
    <w:rsid w:val="00711738"/>
    <w:rsid w:val="00712EA4"/>
    <w:rsid w:val="007132A2"/>
    <w:rsid w:val="00713310"/>
    <w:rsid w:val="0071775A"/>
    <w:rsid w:val="00720361"/>
    <w:rsid w:val="00721FA5"/>
    <w:rsid w:val="00722B11"/>
    <w:rsid w:val="0072567D"/>
    <w:rsid w:val="00725D2A"/>
    <w:rsid w:val="007304E8"/>
    <w:rsid w:val="00730ABE"/>
    <w:rsid w:val="00731BC2"/>
    <w:rsid w:val="00731D2E"/>
    <w:rsid w:val="007324FC"/>
    <w:rsid w:val="007328FF"/>
    <w:rsid w:val="00733729"/>
    <w:rsid w:val="00736D9A"/>
    <w:rsid w:val="00736DA7"/>
    <w:rsid w:val="0074104E"/>
    <w:rsid w:val="00741576"/>
    <w:rsid w:val="0074234A"/>
    <w:rsid w:val="007433E3"/>
    <w:rsid w:val="00745BF1"/>
    <w:rsid w:val="00750B48"/>
    <w:rsid w:val="00750F96"/>
    <w:rsid w:val="0075298A"/>
    <w:rsid w:val="00752A64"/>
    <w:rsid w:val="007540CA"/>
    <w:rsid w:val="0075448F"/>
    <w:rsid w:val="00755291"/>
    <w:rsid w:val="007569F8"/>
    <w:rsid w:val="00756D31"/>
    <w:rsid w:val="00762C66"/>
    <w:rsid w:val="0076302B"/>
    <w:rsid w:val="00763252"/>
    <w:rsid w:val="0076421B"/>
    <w:rsid w:val="007642DD"/>
    <w:rsid w:val="00764B1D"/>
    <w:rsid w:val="00765851"/>
    <w:rsid w:val="007658FC"/>
    <w:rsid w:val="0076763F"/>
    <w:rsid w:val="00770CE5"/>
    <w:rsid w:val="007744DB"/>
    <w:rsid w:val="00781AA2"/>
    <w:rsid w:val="00781D97"/>
    <w:rsid w:val="00783165"/>
    <w:rsid w:val="0078365A"/>
    <w:rsid w:val="00785520"/>
    <w:rsid w:val="00785878"/>
    <w:rsid w:val="0078618F"/>
    <w:rsid w:val="00791DF8"/>
    <w:rsid w:val="00792056"/>
    <w:rsid w:val="00794235"/>
    <w:rsid w:val="00797E48"/>
    <w:rsid w:val="007A12F0"/>
    <w:rsid w:val="007A1ABB"/>
    <w:rsid w:val="007A32D7"/>
    <w:rsid w:val="007A3CD1"/>
    <w:rsid w:val="007A4C5F"/>
    <w:rsid w:val="007A4EF0"/>
    <w:rsid w:val="007A65C9"/>
    <w:rsid w:val="007B02B0"/>
    <w:rsid w:val="007B04E3"/>
    <w:rsid w:val="007B1F58"/>
    <w:rsid w:val="007B397E"/>
    <w:rsid w:val="007B3C2E"/>
    <w:rsid w:val="007B4FCC"/>
    <w:rsid w:val="007B526F"/>
    <w:rsid w:val="007B7D5D"/>
    <w:rsid w:val="007C0355"/>
    <w:rsid w:val="007C09E0"/>
    <w:rsid w:val="007C1E85"/>
    <w:rsid w:val="007C33CA"/>
    <w:rsid w:val="007C3ED4"/>
    <w:rsid w:val="007C62B0"/>
    <w:rsid w:val="007C6BA8"/>
    <w:rsid w:val="007C6E5B"/>
    <w:rsid w:val="007C7B63"/>
    <w:rsid w:val="007D11EF"/>
    <w:rsid w:val="007D259A"/>
    <w:rsid w:val="007D3426"/>
    <w:rsid w:val="007D4333"/>
    <w:rsid w:val="007D4ADA"/>
    <w:rsid w:val="007D6432"/>
    <w:rsid w:val="007D7218"/>
    <w:rsid w:val="007D77ED"/>
    <w:rsid w:val="007E287C"/>
    <w:rsid w:val="007E4714"/>
    <w:rsid w:val="007E6C22"/>
    <w:rsid w:val="007F0C7D"/>
    <w:rsid w:val="007F2C62"/>
    <w:rsid w:val="007F30A5"/>
    <w:rsid w:val="007F3C8B"/>
    <w:rsid w:val="007F476C"/>
    <w:rsid w:val="007F4E0E"/>
    <w:rsid w:val="007F5E76"/>
    <w:rsid w:val="007F7054"/>
    <w:rsid w:val="00800544"/>
    <w:rsid w:val="00800D5E"/>
    <w:rsid w:val="0080156A"/>
    <w:rsid w:val="00803774"/>
    <w:rsid w:val="00803DEC"/>
    <w:rsid w:val="00804494"/>
    <w:rsid w:val="0080503F"/>
    <w:rsid w:val="008055C4"/>
    <w:rsid w:val="00806A89"/>
    <w:rsid w:val="0080723E"/>
    <w:rsid w:val="00810F75"/>
    <w:rsid w:val="008111F7"/>
    <w:rsid w:val="00811A50"/>
    <w:rsid w:val="00812A26"/>
    <w:rsid w:val="0081475E"/>
    <w:rsid w:val="00815870"/>
    <w:rsid w:val="00815D7E"/>
    <w:rsid w:val="00816101"/>
    <w:rsid w:val="00816418"/>
    <w:rsid w:val="00816F26"/>
    <w:rsid w:val="0082012F"/>
    <w:rsid w:val="00820442"/>
    <w:rsid w:val="00820C4E"/>
    <w:rsid w:val="00821358"/>
    <w:rsid w:val="00822A89"/>
    <w:rsid w:val="00823705"/>
    <w:rsid w:val="00824411"/>
    <w:rsid w:val="00826ADF"/>
    <w:rsid w:val="00827AFD"/>
    <w:rsid w:val="00827E89"/>
    <w:rsid w:val="008347CD"/>
    <w:rsid w:val="00835402"/>
    <w:rsid w:val="00835AF1"/>
    <w:rsid w:val="00835BE0"/>
    <w:rsid w:val="008360DD"/>
    <w:rsid w:val="008370CD"/>
    <w:rsid w:val="0083720F"/>
    <w:rsid w:val="00837F3D"/>
    <w:rsid w:val="008406A5"/>
    <w:rsid w:val="00842B84"/>
    <w:rsid w:val="00851641"/>
    <w:rsid w:val="00851AFE"/>
    <w:rsid w:val="00851D35"/>
    <w:rsid w:val="0085238A"/>
    <w:rsid w:val="008535CF"/>
    <w:rsid w:val="00855610"/>
    <w:rsid w:val="00855837"/>
    <w:rsid w:val="00860239"/>
    <w:rsid w:val="00860E2A"/>
    <w:rsid w:val="00860FD2"/>
    <w:rsid w:val="0086193F"/>
    <w:rsid w:val="00861F68"/>
    <w:rsid w:val="00861FEE"/>
    <w:rsid w:val="00863F7E"/>
    <w:rsid w:val="0086520F"/>
    <w:rsid w:val="00865585"/>
    <w:rsid w:val="008658CD"/>
    <w:rsid w:val="00867311"/>
    <w:rsid w:val="008679E9"/>
    <w:rsid w:val="00873D26"/>
    <w:rsid w:val="008749B0"/>
    <w:rsid w:val="00874EA5"/>
    <w:rsid w:val="00875ED9"/>
    <w:rsid w:val="00876745"/>
    <w:rsid w:val="0087773C"/>
    <w:rsid w:val="00881F2A"/>
    <w:rsid w:val="00882C1A"/>
    <w:rsid w:val="00884277"/>
    <w:rsid w:val="00884F48"/>
    <w:rsid w:val="00885E2D"/>
    <w:rsid w:val="008869B1"/>
    <w:rsid w:val="008918CB"/>
    <w:rsid w:val="00892465"/>
    <w:rsid w:val="00895014"/>
    <w:rsid w:val="00897B71"/>
    <w:rsid w:val="008A05A7"/>
    <w:rsid w:val="008A0EE1"/>
    <w:rsid w:val="008A102E"/>
    <w:rsid w:val="008A36CE"/>
    <w:rsid w:val="008A4081"/>
    <w:rsid w:val="008A7CD9"/>
    <w:rsid w:val="008B046E"/>
    <w:rsid w:val="008B1270"/>
    <w:rsid w:val="008B2D80"/>
    <w:rsid w:val="008B3556"/>
    <w:rsid w:val="008B492C"/>
    <w:rsid w:val="008B51BB"/>
    <w:rsid w:val="008C073D"/>
    <w:rsid w:val="008C0CB9"/>
    <w:rsid w:val="008C3358"/>
    <w:rsid w:val="008C3CF3"/>
    <w:rsid w:val="008C41EA"/>
    <w:rsid w:val="008C48C5"/>
    <w:rsid w:val="008C5321"/>
    <w:rsid w:val="008C5581"/>
    <w:rsid w:val="008D0795"/>
    <w:rsid w:val="008D0DEC"/>
    <w:rsid w:val="008D319E"/>
    <w:rsid w:val="008D536C"/>
    <w:rsid w:val="008D53D0"/>
    <w:rsid w:val="008D5B5C"/>
    <w:rsid w:val="008E0E53"/>
    <w:rsid w:val="008E1408"/>
    <w:rsid w:val="008E2F31"/>
    <w:rsid w:val="009003D8"/>
    <w:rsid w:val="00901369"/>
    <w:rsid w:val="009013AC"/>
    <w:rsid w:val="009019A1"/>
    <w:rsid w:val="00903A14"/>
    <w:rsid w:val="00905BCC"/>
    <w:rsid w:val="00906587"/>
    <w:rsid w:val="009079E0"/>
    <w:rsid w:val="0091018D"/>
    <w:rsid w:val="00912FBF"/>
    <w:rsid w:val="009141A5"/>
    <w:rsid w:val="00915584"/>
    <w:rsid w:val="009163B0"/>
    <w:rsid w:val="00917F08"/>
    <w:rsid w:val="009202C6"/>
    <w:rsid w:val="009205AA"/>
    <w:rsid w:val="00920CD0"/>
    <w:rsid w:val="009260CD"/>
    <w:rsid w:val="00927B59"/>
    <w:rsid w:val="00927DB7"/>
    <w:rsid w:val="00930A24"/>
    <w:rsid w:val="00930F15"/>
    <w:rsid w:val="0093153B"/>
    <w:rsid w:val="00931B10"/>
    <w:rsid w:val="009325E2"/>
    <w:rsid w:val="0093313B"/>
    <w:rsid w:val="00935640"/>
    <w:rsid w:val="0093721D"/>
    <w:rsid w:val="00937BF8"/>
    <w:rsid w:val="00937CED"/>
    <w:rsid w:val="00940697"/>
    <w:rsid w:val="00942079"/>
    <w:rsid w:val="00942744"/>
    <w:rsid w:val="009432F6"/>
    <w:rsid w:val="00943FAA"/>
    <w:rsid w:val="009445A6"/>
    <w:rsid w:val="00945A67"/>
    <w:rsid w:val="00945F9B"/>
    <w:rsid w:val="0094781B"/>
    <w:rsid w:val="00950D14"/>
    <w:rsid w:val="00951551"/>
    <w:rsid w:val="009519B4"/>
    <w:rsid w:val="00952688"/>
    <w:rsid w:val="00952A5C"/>
    <w:rsid w:val="00954A1A"/>
    <w:rsid w:val="00955671"/>
    <w:rsid w:val="00956651"/>
    <w:rsid w:val="009570E4"/>
    <w:rsid w:val="009578B5"/>
    <w:rsid w:val="00957E1D"/>
    <w:rsid w:val="00960AEB"/>
    <w:rsid w:val="009635A2"/>
    <w:rsid w:val="00964087"/>
    <w:rsid w:val="00964795"/>
    <w:rsid w:val="009648DE"/>
    <w:rsid w:val="00971B0B"/>
    <w:rsid w:val="00974005"/>
    <w:rsid w:val="00974452"/>
    <w:rsid w:val="00974CE1"/>
    <w:rsid w:val="00974D15"/>
    <w:rsid w:val="00974E6B"/>
    <w:rsid w:val="00975336"/>
    <w:rsid w:val="00980685"/>
    <w:rsid w:val="00981215"/>
    <w:rsid w:val="0098138C"/>
    <w:rsid w:val="009820A3"/>
    <w:rsid w:val="0098240B"/>
    <w:rsid w:val="00982F84"/>
    <w:rsid w:val="0098354A"/>
    <w:rsid w:val="00984C1D"/>
    <w:rsid w:val="009854C7"/>
    <w:rsid w:val="00986EC0"/>
    <w:rsid w:val="00987307"/>
    <w:rsid w:val="00992F67"/>
    <w:rsid w:val="009938DE"/>
    <w:rsid w:val="00995651"/>
    <w:rsid w:val="00995F93"/>
    <w:rsid w:val="00997193"/>
    <w:rsid w:val="009976D0"/>
    <w:rsid w:val="009A0836"/>
    <w:rsid w:val="009A0981"/>
    <w:rsid w:val="009A1E18"/>
    <w:rsid w:val="009A2360"/>
    <w:rsid w:val="009A48B4"/>
    <w:rsid w:val="009A5216"/>
    <w:rsid w:val="009A6FDE"/>
    <w:rsid w:val="009A7A36"/>
    <w:rsid w:val="009B0923"/>
    <w:rsid w:val="009B0E00"/>
    <w:rsid w:val="009B114F"/>
    <w:rsid w:val="009B259C"/>
    <w:rsid w:val="009B38C9"/>
    <w:rsid w:val="009B49F0"/>
    <w:rsid w:val="009B74B9"/>
    <w:rsid w:val="009C0668"/>
    <w:rsid w:val="009C072E"/>
    <w:rsid w:val="009C265F"/>
    <w:rsid w:val="009C40D1"/>
    <w:rsid w:val="009C545F"/>
    <w:rsid w:val="009C5977"/>
    <w:rsid w:val="009C7D4E"/>
    <w:rsid w:val="009D0C1B"/>
    <w:rsid w:val="009D0C1C"/>
    <w:rsid w:val="009D0E00"/>
    <w:rsid w:val="009D13C5"/>
    <w:rsid w:val="009D2441"/>
    <w:rsid w:val="009D2958"/>
    <w:rsid w:val="009D32A1"/>
    <w:rsid w:val="009D3980"/>
    <w:rsid w:val="009D6924"/>
    <w:rsid w:val="009D6B19"/>
    <w:rsid w:val="009D7E99"/>
    <w:rsid w:val="009E16D2"/>
    <w:rsid w:val="009E3297"/>
    <w:rsid w:val="009E4756"/>
    <w:rsid w:val="009E499B"/>
    <w:rsid w:val="009E4F36"/>
    <w:rsid w:val="009E5014"/>
    <w:rsid w:val="009E6CDA"/>
    <w:rsid w:val="009F03A9"/>
    <w:rsid w:val="009F1167"/>
    <w:rsid w:val="009F1854"/>
    <w:rsid w:val="009F1BB1"/>
    <w:rsid w:val="009F26F4"/>
    <w:rsid w:val="009F2FBC"/>
    <w:rsid w:val="009F319A"/>
    <w:rsid w:val="009F3ABA"/>
    <w:rsid w:val="009F5DFF"/>
    <w:rsid w:val="009F7A73"/>
    <w:rsid w:val="00A000CF"/>
    <w:rsid w:val="00A00AC1"/>
    <w:rsid w:val="00A0117F"/>
    <w:rsid w:val="00A01657"/>
    <w:rsid w:val="00A020B1"/>
    <w:rsid w:val="00A03C14"/>
    <w:rsid w:val="00A0625B"/>
    <w:rsid w:val="00A104BD"/>
    <w:rsid w:val="00A11F67"/>
    <w:rsid w:val="00A12308"/>
    <w:rsid w:val="00A12675"/>
    <w:rsid w:val="00A12891"/>
    <w:rsid w:val="00A12F5C"/>
    <w:rsid w:val="00A161F1"/>
    <w:rsid w:val="00A1794B"/>
    <w:rsid w:val="00A17F38"/>
    <w:rsid w:val="00A2151A"/>
    <w:rsid w:val="00A2256D"/>
    <w:rsid w:val="00A227BC"/>
    <w:rsid w:val="00A22CC5"/>
    <w:rsid w:val="00A23318"/>
    <w:rsid w:val="00A24F07"/>
    <w:rsid w:val="00A25BAB"/>
    <w:rsid w:val="00A26AAA"/>
    <w:rsid w:val="00A275F9"/>
    <w:rsid w:val="00A30515"/>
    <w:rsid w:val="00A32EE4"/>
    <w:rsid w:val="00A33BCA"/>
    <w:rsid w:val="00A3459C"/>
    <w:rsid w:val="00A36198"/>
    <w:rsid w:val="00A366F8"/>
    <w:rsid w:val="00A368F9"/>
    <w:rsid w:val="00A40087"/>
    <w:rsid w:val="00A40530"/>
    <w:rsid w:val="00A40878"/>
    <w:rsid w:val="00A427A7"/>
    <w:rsid w:val="00A44DE3"/>
    <w:rsid w:val="00A50D25"/>
    <w:rsid w:val="00A521DF"/>
    <w:rsid w:val="00A52488"/>
    <w:rsid w:val="00A578D9"/>
    <w:rsid w:val="00A57C60"/>
    <w:rsid w:val="00A57F76"/>
    <w:rsid w:val="00A60413"/>
    <w:rsid w:val="00A60BBE"/>
    <w:rsid w:val="00A6424D"/>
    <w:rsid w:val="00A65B0B"/>
    <w:rsid w:val="00A6632F"/>
    <w:rsid w:val="00A70D50"/>
    <w:rsid w:val="00A71CEE"/>
    <w:rsid w:val="00A72438"/>
    <w:rsid w:val="00A724CE"/>
    <w:rsid w:val="00A73602"/>
    <w:rsid w:val="00A73922"/>
    <w:rsid w:val="00A74272"/>
    <w:rsid w:val="00A7443D"/>
    <w:rsid w:val="00A7512F"/>
    <w:rsid w:val="00A75F15"/>
    <w:rsid w:val="00A76547"/>
    <w:rsid w:val="00A77971"/>
    <w:rsid w:val="00A804E8"/>
    <w:rsid w:val="00A806C3"/>
    <w:rsid w:val="00A81204"/>
    <w:rsid w:val="00A819A5"/>
    <w:rsid w:val="00A83D34"/>
    <w:rsid w:val="00A842C8"/>
    <w:rsid w:val="00A849F6"/>
    <w:rsid w:val="00A8510E"/>
    <w:rsid w:val="00A858F9"/>
    <w:rsid w:val="00A8620D"/>
    <w:rsid w:val="00A86D18"/>
    <w:rsid w:val="00A912B8"/>
    <w:rsid w:val="00A93A96"/>
    <w:rsid w:val="00A95216"/>
    <w:rsid w:val="00A95CAC"/>
    <w:rsid w:val="00A970B9"/>
    <w:rsid w:val="00AA0102"/>
    <w:rsid w:val="00AA01CF"/>
    <w:rsid w:val="00AA084E"/>
    <w:rsid w:val="00AA42D9"/>
    <w:rsid w:val="00AA4933"/>
    <w:rsid w:val="00AA5D5B"/>
    <w:rsid w:val="00AA6940"/>
    <w:rsid w:val="00AA6C44"/>
    <w:rsid w:val="00AA76AD"/>
    <w:rsid w:val="00AA7C10"/>
    <w:rsid w:val="00AB111E"/>
    <w:rsid w:val="00AB1915"/>
    <w:rsid w:val="00AB1C93"/>
    <w:rsid w:val="00AB41EB"/>
    <w:rsid w:val="00AB54D9"/>
    <w:rsid w:val="00AB54EA"/>
    <w:rsid w:val="00AB590F"/>
    <w:rsid w:val="00AB6210"/>
    <w:rsid w:val="00AB634A"/>
    <w:rsid w:val="00AB79C1"/>
    <w:rsid w:val="00AB7BF5"/>
    <w:rsid w:val="00AC02BB"/>
    <w:rsid w:val="00AC09F3"/>
    <w:rsid w:val="00AC266F"/>
    <w:rsid w:val="00AC3DA2"/>
    <w:rsid w:val="00AC4A38"/>
    <w:rsid w:val="00AC6691"/>
    <w:rsid w:val="00AD3BE0"/>
    <w:rsid w:val="00AD6E14"/>
    <w:rsid w:val="00AE3B2B"/>
    <w:rsid w:val="00AE3F2C"/>
    <w:rsid w:val="00AE40F1"/>
    <w:rsid w:val="00AE4564"/>
    <w:rsid w:val="00AE5019"/>
    <w:rsid w:val="00AE5474"/>
    <w:rsid w:val="00AE572A"/>
    <w:rsid w:val="00AE59A2"/>
    <w:rsid w:val="00AE6CCE"/>
    <w:rsid w:val="00AE6F16"/>
    <w:rsid w:val="00AE6F32"/>
    <w:rsid w:val="00AE71B9"/>
    <w:rsid w:val="00AF0AF5"/>
    <w:rsid w:val="00AF15E9"/>
    <w:rsid w:val="00AF1B8A"/>
    <w:rsid w:val="00AF5EED"/>
    <w:rsid w:val="00AF6DC4"/>
    <w:rsid w:val="00B03D78"/>
    <w:rsid w:val="00B042C6"/>
    <w:rsid w:val="00B04367"/>
    <w:rsid w:val="00B048A8"/>
    <w:rsid w:val="00B0614B"/>
    <w:rsid w:val="00B0687F"/>
    <w:rsid w:val="00B0689E"/>
    <w:rsid w:val="00B068B7"/>
    <w:rsid w:val="00B069E2"/>
    <w:rsid w:val="00B06FC1"/>
    <w:rsid w:val="00B07252"/>
    <w:rsid w:val="00B115F1"/>
    <w:rsid w:val="00B156D1"/>
    <w:rsid w:val="00B158E8"/>
    <w:rsid w:val="00B15950"/>
    <w:rsid w:val="00B15E3E"/>
    <w:rsid w:val="00B160A0"/>
    <w:rsid w:val="00B16C61"/>
    <w:rsid w:val="00B176B8"/>
    <w:rsid w:val="00B20C92"/>
    <w:rsid w:val="00B21807"/>
    <w:rsid w:val="00B2234D"/>
    <w:rsid w:val="00B24608"/>
    <w:rsid w:val="00B246C9"/>
    <w:rsid w:val="00B24FB3"/>
    <w:rsid w:val="00B33048"/>
    <w:rsid w:val="00B34AC2"/>
    <w:rsid w:val="00B35EC3"/>
    <w:rsid w:val="00B36F66"/>
    <w:rsid w:val="00B41ABA"/>
    <w:rsid w:val="00B43B3C"/>
    <w:rsid w:val="00B45366"/>
    <w:rsid w:val="00B45B17"/>
    <w:rsid w:val="00B45EEC"/>
    <w:rsid w:val="00B464A2"/>
    <w:rsid w:val="00B464AC"/>
    <w:rsid w:val="00B4676A"/>
    <w:rsid w:val="00B4750F"/>
    <w:rsid w:val="00B52097"/>
    <w:rsid w:val="00B5331E"/>
    <w:rsid w:val="00B560C3"/>
    <w:rsid w:val="00B56720"/>
    <w:rsid w:val="00B56D21"/>
    <w:rsid w:val="00B574A5"/>
    <w:rsid w:val="00B5767C"/>
    <w:rsid w:val="00B60F4D"/>
    <w:rsid w:val="00B615C3"/>
    <w:rsid w:val="00B616E9"/>
    <w:rsid w:val="00B651EF"/>
    <w:rsid w:val="00B6685F"/>
    <w:rsid w:val="00B66CC4"/>
    <w:rsid w:val="00B66FAD"/>
    <w:rsid w:val="00B67744"/>
    <w:rsid w:val="00B713F2"/>
    <w:rsid w:val="00B7193A"/>
    <w:rsid w:val="00B72CB8"/>
    <w:rsid w:val="00B73FCB"/>
    <w:rsid w:val="00B77C8C"/>
    <w:rsid w:val="00B802CB"/>
    <w:rsid w:val="00B80CC4"/>
    <w:rsid w:val="00B80F3F"/>
    <w:rsid w:val="00B815D0"/>
    <w:rsid w:val="00B81F74"/>
    <w:rsid w:val="00B821F4"/>
    <w:rsid w:val="00B8252B"/>
    <w:rsid w:val="00B82533"/>
    <w:rsid w:val="00B8379C"/>
    <w:rsid w:val="00B8716D"/>
    <w:rsid w:val="00B91092"/>
    <w:rsid w:val="00B91E4C"/>
    <w:rsid w:val="00B92033"/>
    <w:rsid w:val="00B921CB"/>
    <w:rsid w:val="00B9549B"/>
    <w:rsid w:val="00B97643"/>
    <w:rsid w:val="00B97E34"/>
    <w:rsid w:val="00BA128B"/>
    <w:rsid w:val="00BA20E7"/>
    <w:rsid w:val="00BA2DC2"/>
    <w:rsid w:val="00BA3A17"/>
    <w:rsid w:val="00BA428F"/>
    <w:rsid w:val="00BA4BFA"/>
    <w:rsid w:val="00BA5BCC"/>
    <w:rsid w:val="00BA6661"/>
    <w:rsid w:val="00BA7ADE"/>
    <w:rsid w:val="00BA7B03"/>
    <w:rsid w:val="00BB075C"/>
    <w:rsid w:val="00BB08C1"/>
    <w:rsid w:val="00BB0FA1"/>
    <w:rsid w:val="00BB3C5C"/>
    <w:rsid w:val="00BB4E9D"/>
    <w:rsid w:val="00BB5FF2"/>
    <w:rsid w:val="00BB6D1B"/>
    <w:rsid w:val="00BC03EA"/>
    <w:rsid w:val="00BC05B8"/>
    <w:rsid w:val="00BC063F"/>
    <w:rsid w:val="00BC0C70"/>
    <w:rsid w:val="00BC19CA"/>
    <w:rsid w:val="00BC1C86"/>
    <w:rsid w:val="00BC272C"/>
    <w:rsid w:val="00BC2879"/>
    <w:rsid w:val="00BC325C"/>
    <w:rsid w:val="00BC3F0F"/>
    <w:rsid w:val="00BC437D"/>
    <w:rsid w:val="00BC5514"/>
    <w:rsid w:val="00BC734A"/>
    <w:rsid w:val="00BC754B"/>
    <w:rsid w:val="00BD0B0F"/>
    <w:rsid w:val="00BD26B6"/>
    <w:rsid w:val="00BD3E0A"/>
    <w:rsid w:val="00BD4089"/>
    <w:rsid w:val="00BD5407"/>
    <w:rsid w:val="00BD5B25"/>
    <w:rsid w:val="00BE16BE"/>
    <w:rsid w:val="00BE20A8"/>
    <w:rsid w:val="00BE348E"/>
    <w:rsid w:val="00BE5872"/>
    <w:rsid w:val="00BE6AF9"/>
    <w:rsid w:val="00BF1086"/>
    <w:rsid w:val="00BF1E72"/>
    <w:rsid w:val="00BF29B3"/>
    <w:rsid w:val="00BF3C74"/>
    <w:rsid w:val="00BF3F7F"/>
    <w:rsid w:val="00BF5E1A"/>
    <w:rsid w:val="00BF6CE4"/>
    <w:rsid w:val="00C009A6"/>
    <w:rsid w:val="00C0302B"/>
    <w:rsid w:val="00C036AA"/>
    <w:rsid w:val="00C042ED"/>
    <w:rsid w:val="00C0497C"/>
    <w:rsid w:val="00C063F3"/>
    <w:rsid w:val="00C06729"/>
    <w:rsid w:val="00C06DB2"/>
    <w:rsid w:val="00C075F2"/>
    <w:rsid w:val="00C10595"/>
    <w:rsid w:val="00C1352C"/>
    <w:rsid w:val="00C13EA4"/>
    <w:rsid w:val="00C16B54"/>
    <w:rsid w:val="00C1788F"/>
    <w:rsid w:val="00C21F74"/>
    <w:rsid w:val="00C24A39"/>
    <w:rsid w:val="00C27F84"/>
    <w:rsid w:val="00C30A13"/>
    <w:rsid w:val="00C30CDD"/>
    <w:rsid w:val="00C319F1"/>
    <w:rsid w:val="00C320FD"/>
    <w:rsid w:val="00C3400F"/>
    <w:rsid w:val="00C344C7"/>
    <w:rsid w:val="00C34A7A"/>
    <w:rsid w:val="00C35470"/>
    <w:rsid w:val="00C36651"/>
    <w:rsid w:val="00C40BE9"/>
    <w:rsid w:val="00C4122D"/>
    <w:rsid w:val="00C428AD"/>
    <w:rsid w:val="00C4415B"/>
    <w:rsid w:val="00C464EC"/>
    <w:rsid w:val="00C50D0A"/>
    <w:rsid w:val="00C50E7F"/>
    <w:rsid w:val="00C512B9"/>
    <w:rsid w:val="00C51334"/>
    <w:rsid w:val="00C5157B"/>
    <w:rsid w:val="00C51816"/>
    <w:rsid w:val="00C51C2B"/>
    <w:rsid w:val="00C52462"/>
    <w:rsid w:val="00C530C7"/>
    <w:rsid w:val="00C56E81"/>
    <w:rsid w:val="00C60C6B"/>
    <w:rsid w:val="00C64856"/>
    <w:rsid w:val="00C64A2A"/>
    <w:rsid w:val="00C64B5D"/>
    <w:rsid w:val="00C66D8E"/>
    <w:rsid w:val="00C67243"/>
    <w:rsid w:val="00C708B1"/>
    <w:rsid w:val="00C740A3"/>
    <w:rsid w:val="00C74483"/>
    <w:rsid w:val="00C75F5C"/>
    <w:rsid w:val="00C765D4"/>
    <w:rsid w:val="00C8094F"/>
    <w:rsid w:val="00C81108"/>
    <w:rsid w:val="00C817D0"/>
    <w:rsid w:val="00C822EC"/>
    <w:rsid w:val="00C82DCF"/>
    <w:rsid w:val="00C82EE7"/>
    <w:rsid w:val="00C834FB"/>
    <w:rsid w:val="00C835F3"/>
    <w:rsid w:val="00C8467C"/>
    <w:rsid w:val="00C84EAC"/>
    <w:rsid w:val="00C857B1"/>
    <w:rsid w:val="00C86665"/>
    <w:rsid w:val="00C86BBA"/>
    <w:rsid w:val="00C900CA"/>
    <w:rsid w:val="00C90611"/>
    <w:rsid w:val="00C90714"/>
    <w:rsid w:val="00C9081E"/>
    <w:rsid w:val="00C90D36"/>
    <w:rsid w:val="00C90F88"/>
    <w:rsid w:val="00C91EB4"/>
    <w:rsid w:val="00C9235E"/>
    <w:rsid w:val="00C944CA"/>
    <w:rsid w:val="00C96AEA"/>
    <w:rsid w:val="00CA09FA"/>
    <w:rsid w:val="00CA1594"/>
    <w:rsid w:val="00CA266D"/>
    <w:rsid w:val="00CA2DE5"/>
    <w:rsid w:val="00CA3C94"/>
    <w:rsid w:val="00CA496E"/>
    <w:rsid w:val="00CA52A4"/>
    <w:rsid w:val="00CA5623"/>
    <w:rsid w:val="00CA734F"/>
    <w:rsid w:val="00CB3255"/>
    <w:rsid w:val="00CB3371"/>
    <w:rsid w:val="00CB3551"/>
    <w:rsid w:val="00CB4813"/>
    <w:rsid w:val="00CB49E8"/>
    <w:rsid w:val="00CB66D5"/>
    <w:rsid w:val="00CC1198"/>
    <w:rsid w:val="00CC158F"/>
    <w:rsid w:val="00CC1B63"/>
    <w:rsid w:val="00CC41A6"/>
    <w:rsid w:val="00CC4368"/>
    <w:rsid w:val="00CC5602"/>
    <w:rsid w:val="00CC7351"/>
    <w:rsid w:val="00CD02BE"/>
    <w:rsid w:val="00CD28E4"/>
    <w:rsid w:val="00CD298F"/>
    <w:rsid w:val="00CD38AA"/>
    <w:rsid w:val="00CD3BA7"/>
    <w:rsid w:val="00CD4BBD"/>
    <w:rsid w:val="00CD632B"/>
    <w:rsid w:val="00CD6B27"/>
    <w:rsid w:val="00CE126C"/>
    <w:rsid w:val="00CE2E60"/>
    <w:rsid w:val="00CE4089"/>
    <w:rsid w:val="00CE607B"/>
    <w:rsid w:val="00CE6218"/>
    <w:rsid w:val="00CE6DBF"/>
    <w:rsid w:val="00CE784D"/>
    <w:rsid w:val="00CE797B"/>
    <w:rsid w:val="00CF019B"/>
    <w:rsid w:val="00CF0439"/>
    <w:rsid w:val="00CF199A"/>
    <w:rsid w:val="00CF2471"/>
    <w:rsid w:val="00CF49F3"/>
    <w:rsid w:val="00CF5AB9"/>
    <w:rsid w:val="00D00101"/>
    <w:rsid w:val="00D00ADE"/>
    <w:rsid w:val="00D00EF8"/>
    <w:rsid w:val="00D00FA0"/>
    <w:rsid w:val="00D01477"/>
    <w:rsid w:val="00D033BA"/>
    <w:rsid w:val="00D033D4"/>
    <w:rsid w:val="00D06306"/>
    <w:rsid w:val="00D06B8D"/>
    <w:rsid w:val="00D06D99"/>
    <w:rsid w:val="00D074EA"/>
    <w:rsid w:val="00D10A5E"/>
    <w:rsid w:val="00D10F5F"/>
    <w:rsid w:val="00D11899"/>
    <w:rsid w:val="00D119CD"/>
    <w:rsid w:val="00D11EFC"/>
    <w:rsid w:val="00D137AC"/>
    <w:rsid w:val="00D13C6E"/>
    <w:rsid w:val="00D144EF"/>
    <w:rsid w:val="00D14DBD"/>
    <w:rsid w:val="00D14E09"/>
    <w:rsid w:val="00D15151"/>
    <w:rsid w:val="00D175BC"/>
    <w:rsid w:val="00D2077B"/>
    <w:rsid w:val="00D20957"/>
    <w:rsid w:val="00D21503"/>
    <w:rsid w:val="00D21D1B"/>
    <w:rsid w:val="00D22484"/>
    <w:rsid w:val="00D23C71"/>
    <w:rsid w:val="00D265EB"/>
    <w:rsid w:val="00D2686B"/>
    <w:rsid w:val="00D26DF2"/>
    <w:rsid w:val="00D276EB"/>
    <w:rsid w:val="00D30697"/>
    <w:rsid w:val="00D30758"/>
    <w:rsid w:val="00D343BE"/>
    <w:rsid w:val="00D34F50"/>
    <w:rsid w:val="00D3689D"/>
    <w:rsid w:val="00D416D7"/>
    <w:rsid w:val="00D41CD1"/>
    <w:rsid w:val="00D432AF"/>
    <w:rsid w:val="00D43974"/>
    <w:rsid w:val="00D443E6"/>
    <w:rsid w:val="00D4717F"/>
    <w:rsid w:val="00D527A3"/>
    <w:rsid w:val="00D5345C"/>
    <w:rsid w:val="00D546C4"/>
    <w:rsid w:val="00D5498C"/>
    <w:rsid w:val="00D549D9"/>
    <w:rsid w:val="00D55778"/>
    <w:rsid w:val="00D560EF"/>
    <w:rsid w:val="00D6104F"/>
    <w:rsid w:val="00D61E31"/>
    <w:rsid w:val="00D64FAF"/>
    <w:rsid w:val="00D6582B"/>
    <w:rsid w:val="00D6625A"/>
    <w:rsid w:val="00D667BB"/>
    <w:rsid w:val="00D66AE6"/>
    <w:rsid w:val="00D66B03"/>
    <w:rsid w:val="00D6759B"/>
    <w:rsid w:val="00D6760E"/>
    <w:rsid w:val="00D67821"/>
    <w:rsid w:val="00D71E43"/>
    <w:rsid w:val="00D7315E"/>
    <w:rsid w:val="00D74877"/>
    <w:rsid w:val="00D76396"/>
    <w:rsid w:val="00D76E7F"/>
    <w:rsid w:val="00D81371"/>
    <w:rsid w:val="00D81AFE"/>
    <w:rsid w:val="00D83E77"/>
    <w:rsid w:val="00D85360"/>
    <w:rsid w:val="00D85C17"/>
    <w:rsid w:val="00D86840"/>
    <w:rsid w:val="00D86B09"/>
    <w:rsid w:val="00D86FF1"/>
    <w:rsid w:val="00D8701A"/>
    <w:rsid w:val="00D87E43"/>
    <w:rsid w:val="00D90761"/>
    <w:rsid w:val="00D923EC"/>
    <w:rsid w:val="00D930F2"/>
    <w:rsid w:val="00D93AAB"/>
    <w:rsid w:val="00D94189"/>
    <w:rsid w:val="00D944B4"/>
    <w:rsid w:val="00D95E8C"/>
    <w:rsid w:val="00D969BD"/>
    <w:rsid w:val="00D978BB"/>
    <w:rsid w:val="00DA109D"/>
    <w:rsid w:val="00DA2453"/>
    <w:rsid w:val="00DA484C"/>
    <w:rsid w:val="00DA5336"/>
    <w:rsid w:val="00DA6B92"/>
    <w:rsid w:val="00DA742D"/>
    <w:rsid w:val="00DA7AFB"/>
    <w:rsid w:val="00DB0A75"/>
    <w:rsid w:val="00DB2646"/>
    <w:rsid w:val="00DB2BFC"/>
    <w:rsid w:val="00DB76E3"/>
    <w:rsid w:val="00DC21BD"/>
    <w:rsid w:val="00DC21DB"/>
    <w:rsid w:val="00DC22B3"/>
    <w:rsid w:val="00DC26BC"/>
    <w:rsid w:val="00DC4BB3"/>
    <w:rsid w:val="00DC5E78"/>
    <w:rsid w:val="00DC6E47"/>
    <w:rsid w:val="00DC7248"/>
    <w:rsid w:val="00DD19B7"/>
    <w:rsid w:val="00DD2593"/>
    <w:rsid w:val="00DD2854"/>
    <w:rsid w:val="00DD353A"/>
    <w:rsid w:val="00DD39AF"/>
    <w:rsid w:val="00DD3A4C"/>
    <w:rsid w:val="00DD3BC8"/>
    <w:rsid w:val="00DD3E51"/>
    <w:rsid w:val="00DD4609"/>
    <w:rsid w:val="00DD5B0A"/>
    <w:rsid w:val="00DE0513"/>
    <w:rsid w:val="00DE1703"/>
    <w:rsid w:val="00DE5DA7"/>
    <w:rsid w:val="00DE767E"/>
    <w:rsid w:val="00DE7D08"/>
    <w:rsid w:val="00DF0387"/>
    <w:rsid w:val="00DF1EF6"/>
    <w:rsid w:val="00DF3C1B"/>
    <w:rsid w:val="00DF406E"/>
    <w:rsid w:val="00DF476E"/>
    <w:rsid w:val="00DF50DD"/>
    <w:rsid w:val="00DF63A0"/>
    <w:rsid w:val="00DF6695"/>
    <w:rsid w:val="00DF7DCE"/>
    <w:rsid w:val="00DF7FD0"/>
    <w:rsid w:val="00E00398"/>
    <w:rsid w:val="00E026A5"/>
    <w:rsid w:val="00E03B95"/>
    <w:rsid w:val="00E0616A"/>
    <w:rsid w:val="00E06B00"/>
    <w:rsid w:val="00E06B8B"/>
    <w:rsid w:val="00E103BE"/>
    <w:rsid w:val="00E1315F"/>
    <w:rsid w:val="00E158D0"/>
    <w:rsid w:val="00E17AC2"/>
    <w:rsid w:val="00E21081"/>
    <w:rsid w:val="00E21F70"/>
    <w:rsid w:val="00E22FB5"/>
    <w:rsid w:val="00E23624"/>
    <w:rsid w:val="00E23F64"/>
    <w:rsid w:val="00E253AB"/>
    <w:rsid w:val="00E2680E"/>
    <w:rsid w:val="00E27346"/>
    <w:rsid w:val="00E2744D"/>
    <w:rsid w:val="00E2793B"/>
    <w:rsid w:val="00E3027A"/>
    <w:rsid w:val="00E315FF"/>
    <w:rsid w:val="00E31911"/>
    <w:rsid w:val="00E32052"/>
    <w:rsid w:val="00E32465"/>
    <w:rsid w:val="00E3328E"/>
    <w:rsid w:val="00E406E9"/>
    <w:rsid w:val="00E40DFF"/>
    <w:rsid w:val="00E44172"/>
    <w:rsid w:val="00E459C4"/>
    <w:rsid w:val="00E46D70"/>
    <w:rsid w:val="00E5018C"/>
    <w:rsid w:val="00E5105D"/>
    <w:rsid w:val="00E54129"/>
    <w:rsid w:val="00E55E51"/>
    <w:rsid w:val="00E568A8"/>
    <w:rsid w:val="00E5733B"/>
    <w:rsid w:val="00E609CB"/>
    <w:rsid w:val="00E617ED"/>
    <w:rsid w:val="00E61ABF"/>
    <w:rsid w:val="00E61D67"/>
    <w:rsid w:val="00E628A8"/>
    <w:rsid w:val="00E63AA8"/>
    <w:rsid w:val="00E6403E"/>
    <w:rsid w:val="00E64CA6"/>
    <w:rsid w:val="00E66EC8"/>
    <w:rsid w:val="00E67095"/>
    <w:rsid w:val="00E67FB5"/>
    <w:rsid w:val="00E702A7"/>
    <w:rsid w:val="00E712E4"/>
    <w:rsid w:val="00E727A3"/>
    <w:rsid w:val="00E73318"/>
    <w:rsid w:val="00E746A7"/>
    <w:rsid w:val="00E74847"/>
    <w:rsid w:val="00E76522"/>
    <w:rsid w:val="00E778D2"/>
    <w:rsid w:val="00E8036C"/>
    <w:rsid w:val="00E87D04"/>
    <w:rsid w:val="00E91AB6"/>
    <w:rsid w:val="00E9237B"/>
    <w:rsid w:val="00E940DA"/>
    <w:rsid w:val="00E945E6"/>
    <w:rsid w:val="00E94DF9"/>
    <w:rsid w:val="00E96EC5"/>
    <w:rsid w:val="00E97A1E"/>
    <w:rsid w:val="00EA0882"/>
    <w:rsid w:val="00EA0C6D"/>
    <w:rsid w:val="00EA3C1E"/>
    <w:rsid w:val="00EA4287"/>
    <w:rsid w:val="00EA446B"/>
    <w:rsid w:val="00EA47E5"/>
    <w:rsid w:val="00EB03EE"/>
    <w:rsid w:val="00EB0812"/>
    <w:rsid w:val="00EB1309"/>
    <w:rsid w:val="00EB3CFB"/>
    <w:rsid w:val="00EB657F"/>
    <w:rsid w:val="00EB72E9"/>
    <w:rsid w:val="00EC05F1"/>
    <w:rsid w:val="00EC0DF9"/>
    <w:rsid w:val="00EC3685"/>
    <w:rsid w:val="00EC5328"/>
    <w:rsid w:val="00EC7929"/>
    <w:rsid w:val="00EC7F31"/>
    <w:rsid w:val="00ED135E"/>
    <w:rsid w:val="00ED1E3D"/>
    <w:rsid w:val="00ED2A1E"/>
    <w:rsid w:val="00ED6063"/>
    <w:rsid w:val="00ED7EF3"/>
    <w:rsid w:val="00EE1D45"/>
    <w:rsid w:val="00EE3398"/>
    <w:rsid w:val="00EE42A1"/>
    <w:rsid w:val="00EE4340"/>
    <w:rsid w:val="00EE762C"/>
    <w:rsid w:val="00EE78F5"/>
    <w:rsid w:val="00EE79AA"/>
    <w:rsid w:val="00EF0D28"/>
    <w:rsid w:val="00EF12F1"/>
    <w:rsid w:val="00EF3189"/>
    <w:rsid w:val="00EF32CF"/>
    <w:rsid w:val="00EF39BF"/>
    <w:rsid w:val="00EF6B7D"/>
    <w:rsid w:val="00EF6D7B"/>
    <w:rsid w:val="00EF75DB"/>
    <w:rsid w:val="00F0091F"/>
    <w:rsid w:val="00F016C8"/>
    <w:rsid w:val="00F017EC"/>
    <w:rsid w:val="00F01B74"/>
    <w:rsid w:val="00F02253"/>
    <w:rsid w:val="00F030D8"/>
    <w:rsid w:val="00F0327A"/>
    <w:rsid w:val="00F032B9"/>
    <w:rsid w:val="00F04BAF"/>
    <w:rsid w:val="00F04E66"/>
    <w:rsid w:val="00F05298"/>
    <w:rsid w:val="00F05A45"/>
    <w:rsid w:val="00F07B44"/>
    <w:rsid w:val="00F10405"/>
    <w:rsid w:val="00F115A6"/>
    <w:rsid w:val="00F12387"/>
    <w:rsid w:val="00F1257D"/>
    <w:rsid w:val="00F13444"/>
    <w:rsid w:val="00F141A0"/>
    <w:rsid w:val="00F14DC0"/>
    <w:rsid w:val="00F15493"/>
    <w:rsid w:val="00F16BF1"/>
    <w:rsid w:val="00F17962"/>
    <w:rsid w:val="00F210FD"/>
    <w:rsid w:val="00F21588"/>
    <w:rsid w:val="00F22447"/>
    <w:rsid w:val="00F22A14"/>
    <w:rsid w:val="00F23B97"/>
    <w:rsid w:val="00F243DB"/>
    <w:rsid w:val="00F249A3"/>
    <w:rsid w:val="00F2649F"/>
    <w:rsid w:val="00F274D4"/>
    <w:rsid w:val="00F27C3F"/>
    <w:rsid w:val="00F339E3"/>
    <w:rsid w:val="00F351D4"/>
    <w:rsid w:val="00F3546E"/>
    <w:rsid w:val="00F3792F"/>
    <w:rsid w:val="00F40218"/>
    <w:rsid w:val="00F41D04"/>
    <w:rsid w:val="00F4264B"/>
    <w:rsid w:val="00F42893"/>
    <w:rsid w:val="00F4326D"/>
    <w:rsid w:val="00F43911"/>
    <w:rsid w:val="00F43F17"/>
    <w:rsid w:val="00F446A5"/>
    <w:rsid w:val="00F44888"/>
    <w:rsid w:val="00F45399"/>
    <w:rsid w:val="00F46FDF"/>
    <w:rsid w:val="00F46FFC"/>
    <w:rsid w:val="00F47968"/>
    <w:rsid w:val="00F47C7B"/>
    <w:rsid w:val="00F53343"/>
    <w:rsid w:val="00F54DB1"/>
    <w:rsid w:val="00F55552"/>
    <w:rsid w:val="00F558B4"/>
    <w:rsid w:val="00F563E7"/>
    <w:rsid w:val="00F61924"/>
    <w:rsid w:val="00F61C2F"/>
    <w:rsid w:val="00F63837"/>
    <w:rsid w:val="00F6427A"/>
    <w:rsid w:val="00F64FED"/>
    <w:rsid w:val="00F659D7"/>
    <w:rsid w:val="00F7015B"/>
    <w:rsid w:val="00F747A2"/>
    <w:rsid w:val="00F750D1"/>
    <w:rsid w:val="00F7557A"/>
    <w:rsid w:val="00F76214"/>
    <w:rsid w:val="00F76BA9"/>
    <w:rsid w:val="00F77C52"/>
    <w:rsid w:val="00F80ADE"/>
    <w:rsid w:val="00F81B7F"/>
    <w:rsid w:val="00F827D9"/>
    <w:rsid w:val="00F838A2"/>
    <w:rsid w:val="00F847F6"/>
    <w:rsid w:val="00F863E8"/>
    <w:rsid w:val="00F9192D"/>
    <w:rsid w:val="00F92AF0"/>
    <w:rsid w:val="00F93125"/>
    <w:rsid w:val="00F9362F"/>
    <w:rsid w:val="00F93742"/>
    <w:rsid w:val="00F94B03"/>
    <w:rsid w:val="00F950E0"/>
    <w:rsid w:val="00F966DF"/>
    <w:rsid w:val="00FA0669"/>
    <w:rsid w:val="00FA29A8"/>
    <w:rsid w:val="00FA489A"/>
    <w:rsid w:val="00FA7045"/>
    <w:rsid w:val="00FA7B32"/>
    <w:rsid w:val="00FB258A"/>
    <w:rsid w:val="00FB3BBD"/>
    <w:rsid w:val="00FB3C6C"/>
    <w:rsid w:val="00FB488D"/>
    <w:rsid w:val="00FB5A48"/>
    <w:rsid w:val="00FC2574"/>
    <w:rsid w:val="00FC4AE7"/>
    <w:rsid w:val="00FC50A6"/>
    <w:rsid w:val="00FC68EE"/>
    <w:rsid w:val="00FC6A75"/>
    <w:rsid w:val="00FD0AEF"/>
    <w:rsid w:val="00FD2132"/>
    <w:rsid w:val="00FD2C9B"/>
    <w:rsid w:val="00FD445D"/>
    <w:rsid w:val="00FD4B12"/>
    <w:rsid w:val="00FD7CB5"/>
    <w:rsid w:val="00FE02AA"/>
    <w:rsid w:val="00FE11F4"/>
    <w:rsid w:val="00FE209B"/>
    <w:rsid w:val="00FE2E4C"/>
    <w:rsid w:val="00FE4BCB"/>
    <w:rsid w:val="00FE6411"/>
    <w:rsid w:val="00FE6824"/>
    <w:rsid w:val="00FE735D"/>
    <w:rsid w:val="00FF482E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8CC43-5583-4069-AD3B-75BDCA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F9"/>
  </w:style>
  <w:style w:type="paragraph" w:styleId="Heading1">
    <w:name w:val="heading 1"/>
    <w:basedOn w:val="Normal"/>
    <w:next w:val="Normal"/>
    <w:link w:val="Heading1Char"/>
    <w:uiPriority w:val="9"/>
    <w:qFormat/>
    <w:rsid w:val="00AF1B8A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b/>
      <w:color w:val="0C5699" w:themeColor="accent1" w:themeShade="80"/>
      <w:sz w:val="2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B8A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1280E5" w:themeColor="accent1" w:themeShade="BF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4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color w:val="1280E5" w:themeColor="accent1" w:themeShade="BF"/>
      <w:sz w:val="2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36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280E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36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280E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6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C569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6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C569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36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C569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6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C569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73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819A5"/>
    <w:pPr>
      <w:spacing w:line="360" w:lineRule="auto"/>
      <w:jc w:val="both"/>
    </w:pPr>
  </w:style>
  <w:style w:type="paragraph" w:styleId="BodyText2">
    <w:name w:val="Body Text 2"/>
    <w:basedOn w:val="Normal"/>
    <w:link w:val="BodyText2Char"/>
    <w:rsid w:val="00A819A5"/>
    <w:pPr>
      <w:jc w:val="both"/>
    </w:pPr>
    <w:rPr>
      <w:sz w:val="28"/>
    </w:rPr>
  </w:style>
  <w:style w:type="paragraph" w:styleId="TOC1">
    <w:name w:val="toc 1"/>
    <w:basedOn w:val="Normal"/>
    <w:next w:val="Normal"/>
    <w:autoRedefine/>
    <w:uiPriority w:val="39"/>
    <w:rsid w:val="00A819A5"/>
    <w:rPr>
      <w:b/>
      <w:bCs/>
      <w:color w:val="003366"/>
      <w:sz w:val="28"/>
    </w:rPr>
  </w:style>
  <w:style w:type="paragraph" w:styleId="TOC2">
    <w:name w:val="toc 2"/>
    <w:basedOn w:val="Normal"/>
    <w:next w:val="Normal"/>
    <w:autoRedefine/>
    <w:uiPriority w:val="39"/>
    <w:rsid w:val="00F22A14"/>
    <w:pPr>
      <w:tabs>
        <w:tab w:val="right" w:leader="dot" w:pos="9345"/>
      </w:tabs>
      <w:spacing w:after="0" w:line="240" w:lineRule="auto"/>
      <w:ind w:left="284"/>
    </w:pPr>
    <w:rPr>
      <w:rFonts w:ascii="Arial" w:hAnsi="Arial" w:cs="Arial"/>
      <w:noProof/>
      <w:sz w:val="20"/>
      <w:szCs w:val="20"/>
      <w:lang w:val="ro-RO"/>
    </w:rPr>
  </w:style>
  <w:style w:type="character" w:styleId="Hyperlink">
    <w:name w:val="Hyperlink"/>
    <w:uiPriority w:val="99"/>
    <w:rsid w:val="00A819A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36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customStyle="1" w:styleId="Body">
    <w:name w:val="Body"/>
    <w:aliases w:val="by"/>
    <w:link w:val="BodyChar"/>
    <w:rsid w:val="00101CCC"/>
    <w:pPr>
      <w:spacing w:after="120" w:line="290" w:lineRule="auto"/>
      <w:ind w:left="425"/>
      <w:jc w:val="both"/>
    </w:pPr>
    <w:rPr>
      <w:kern w:val="20"/>
      <w:lang w:val="en-GB"/>
    </w:rPr>
  </w:style>
  <w:style w:type="paragraph" w:customStyle="1" w:styleId="NormalCentered">
    <w:name w:val="Normal + Centered"/>
    <w:basedOn w:val="Heading1"/>
    <w:rsid w:val="009F5DFF"/>
    <w:pPr>
      <w:jc w:val="center"/>
    </w:pPr>
    <w:rPr>
      <w:lang w:val="it-IT"/>
    </w:rPr>
  </w:style>
  <w:style w:type="paragraph" w:customStyle="1" w:styleId="AIOCNORMAL">
    <w:name w:val="AIOC NORMAL"/>
    <w:basedOn w:val="Normal"/>
    <w:rsid w:val="007A65C9"/>
    <w:pPr>
      <w:widowControl w:val="0"/>
      <w:tabs>
        <w:tab w:val="left" w:pos="1440"/>
      </w:tabs>
    </w:pPr>
    <w:rPr>
      <w:rFonts w:ascii="Book Antiqua" w:hAnsi="Book Antiqua"/>
      <w:szCs w:val="20"/>
    </w:rPr>
  </w:style>
  <w:style w:type="character" w:styleId="PageNumber">
    <w:name w:val="page number"/>
    <w:basedOn w:val="DefaultParagraphFont"/>
    <w:rsid w:val="00951551"/>
  </w:style>
  <w:style w:type="paragraph" w:styleId="BalloonText">
    <w:name w:val="Balloon Text"/>
    <w:basedOn w:val="Normal"/>
    <w:link w:val="BalloonTextChar"/>
    <w:semiHidden/>
    <w:rsid w:val="00C75F5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747A2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72567D"/>
    <w:pPr>
      <w:spacing w:before="100" w:beforeAutospacing="1" w:after="100" w:afterAutospacing="1"/>
    </w:pPr>
  </w:style>
  <w:style w:type="character" w:customStyle="1" w:styleId="CharChar1">
    <w:name w:val="Char Char1"/>
    <w:rsid w:val="008C41EA"/>
    <w:rPr>
      <w:sz w:val="24"/>
      <w:szCs w:val="24"/>
      <w:lang w:val="en-US" w:eastAsia="en-US" w:bidi="ar-SA"/>
    </w:rPr>
  </w:style>
  <w:style w:type="character" w:customStyle="1" w:styleId="BodyText2Char">
    <w:name w:val="Body Text 2 Char"/>
    <w:link w:val="BodyText2"/>
    <w:rsid w:val="00FC68EE"/>
    <w:rPr>
      <w:sz w:val="28"/>
      <w:szCs w:val="24"/>
      <w:lang w:val="en-US" w:eastAsia="en-US"/>
    </w:rPr>
  </w:style>
  <w:style w:type="character" w:styleId="CommentReference">
    <w:name w:val="annotation reference"/>
    <w:rsid w:val="00A93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A96"/>
    <w:rPr>
      <w:sz w:val="20"/>
      <w:szCs w:val="20"/>
    </w:rPr>
  </w:style>
  <w:style w:type="character" w:customStyle="1" w:styleId="CommentTextChar">
    <w:name w:val="Comment Text Char"/>
    <w:link w:val="CommentText"/>
    <w:rsid w:val="00A93A9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A96"/>
    <w:rPr>
      <w:b/>
      <w:bCs/>
    </w:rPr>
  </w:style>
  <w:style w:type="character" w:customStyle="1" w:styleId="CommentSubjectChar">
    <w:name w:val="Comment Subject Char"/>
    <w:link w:val="CommentSubject"/>
    <w:rsid w:val="00A93A96"/>
    <w:rPr>
      <w:b/>
      <w:b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036F9"/>
    <w:rPr>
      <w:rFonts w:asciiTheme="majorHAnsi" w:eastAsiaTheme="majorEastAsia" w:hAnsiTheme="majorHAnsi" w:cstheme="majorBidi"/>
      <w:caps/>
      <w:color w:val="1280E5" w:themeColor="accent1" w:themeShade="BF"/>
    </w:rPr>
  </w:style>
  <w:style w:type="character" w:customStyle="1" w:styleId="BalloonTextChar">
    <w:name w:val="Balloon Text Char"/>
    <w:link w:val="BalloonText"/>
    <w:semiHidden/>
    <w:locked/>
    <w:rsid w:val="00FB3BBD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D94189"/>
    <w:pPr>
      <w:autoSpaceDE w:val="0"/>
      <w:autoSpaceDN w:val="0"/>
      <w:adjustRightInd w:val="0"/>
      <w:spacing w:line="241" w:lineRule="atLeast"/>
    </w:pPr>
    <w:rPr>
      <w:rFonts w:ascii="Univers Com" w:hAnsi="Univers Com"/>
    </w:rPr>
  </w:style>
  <w:style w:type="character" w:customStyle="1" w:styleId="A1">
    <w:name w:val="A1"/>
    <w:uiPriority w:val="99"/>
    <w:rsid w:val="00D94189"/>
    <w:rPr>
      <w:rFonts w:cs="Univers Com"/>
      <w:color w:val="000000"/>
      <w:sz w:val="18"/>
      <w:szCs w:val="18"/>
    </w:rPr>
  </w:style>
  <w:style w:type="table" w:styleId="LightShading-Accent5">
    <w:name w:val="Light Shading Accent 5"/>
    <w:basedOn w:val="TableNormal"/>
    <w:uiPriority w:val="60"/>
    <w:rsid w:val="00DE1703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basedOn w:val="DefaultParagraphFont"/>
    <w:uiPriority w:val="20"/>
    <w:qFormat/>
    <w:rsid w:val="007036F9"/>
    <w:rPr>
      <w:i/>
      <w:iCs/>
    </w:rPr>
  </w:style>
  <w:style w:type="paragraph" w:styleId="NoSpacing">
    <w:name w:val="No Spacing"/>
    <w:link w:val="NoSpacingChar"/>
    <w:uiPriority w:val="1"/>
    <w:qFormat/>
    <w:rsid w:val="007036F9"/>
    <w:pPr>
      <w:spacing w:after="0" w:line="240" w:lineRule="auto"/>
    </w:pPr>
  </w:style>
  <w:style w:type="paragraph" w:customStyle="1" w:styleId="Notesbodytext">
    <w:name w:val="Notes body text"/>
    <w:basedOn w:val="Normal"/>
    <w:link w:val="NotesbodytextChar"/>
    <w:rsid w:val="00FD4B12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EYInterstate Light" w:eastAsia="EYInterstate Light" w:hAnsi="EYInterstate Light" w:cs="Arial"/>
      <w:color w:val="000000"/>
      <w:sz w:val="18"/>
      <w:szCs w:val="20"/>
      <w:lang w:val="en-GB" w:eastAsia="ja-JP"/>
    </w:rPr>
  </w:style>
  <w:style w:type="character" w:customStyle="1" w:styleId="NotesbodytextChar">
    <w:name w:val="Notes body text Char"/>
    <w:link w:val="Notesbodytext"/>
    <w:locked/>
    <w:rsid w:val="00FD4B12"/>
    <w:rPr>
      <w:rFonts w:ascii="EYInterstate Light" w:eastAsia="EYInterstate Light" w:hAnsi="EYInterstate Light" w:cs="Arial"/>
      <w:color w:val="000000"/>
      <w:sz w:val="18"/>
      <w:lang w:val="en-GB" w:eastAsia="ja-JP"/>
    </w:rPr>
  </w:style>
  <w:style w:type="character" w:customStyle="1" w:styleId="BodyChar">
    <w:name w:val="Body Char"/>
    <w:link w:val="Body"/>
    <w:locked/>
    <w:rsid w:val="00B815D0"/>
    <w:rPr>
      <w:kern w:val="20"/>
      <w:lang w:val="en-GB"/>
    </w:rPr>
  </w:style>
  <w:style w:type="paragraph" w:styleId="Revision">
    <w:name w:val="Revision"/>
    <w:hidden/>
    <w:uiPriority w:val="99"/>
    <w:semiHidden/>
    <w:rsid w:val="0009163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036F9"/>
    <w:pPr>
      <w:spacing w:line="240" w:lineRule="auto"/>
    </w:pPr>
    <w:rPr>
      <w:b/>
      <w:bCs/>
      <w:smallCaps/>
      <w:color w:val="17406D" w:themeColor="text2"/>
    </w:rPr>
  </w:style>
  <w:style w:type="character" w:customStyle="1" w:styleId="A6">
    <w:name w:val="A6"/>
    <w:uiPriority w:val="99"/>
    <w:rsid w:val="00800544"/>
    <w:rPr>
      <w:color w:val="007CC3"/>
      <w:sz w:val="14"/>
      <w:szCs w:val="14"/>
    </w:rPr>
  </w:style>
  <w:style w:type="character" w:customStyle="1" w:styleId="A4">
    <w:name w:val="A4"/>
    <w:uiPriority w:val="99"/>
    <w:rsid w:val="00800544"/>
    <w:rPr>
      <w:color w:val="007CC3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75DB"/>
  </w:style>
  <w:style w:type="paragraph" w:styleId="TOCHeading">
    <w:name w:val="TOC Heading"/>
    <w:basedOn w:val="Heading1"/>
    <w:next w:val="Normal"/>
    <w:uiPriority w:val="39"/>
    <w:unhideWhenUsed/>
    <w:qFormat/>
    <w:rsid w:val="007036F9"/>
    <w:pPr>
      <w:outlineLvl w:val="9"/>
    </w:pPr>
  </w:style>
  <w:style w:type="table" w:customStyle="1" w:styleId="ListTable6Colorful-Accent61">
    <w:name w:val="List Table 6 Colorful - Accent 61"/>
    <w:basedOn w:val="TableNormal"/>
    <w:uiPriority w:val="51"/>
    <w:rsid w:val="00077F12"/>
    <w:rPr>
      <w:color w:val="29531B" w:themeColor="accent6" w:themeShade="BF"/>
    </w:rPr>
    <w:tblPr>
      <w:tblStyleRowBandSize w:val="1"/>
      <w:tblStyleColBandSize w:val="1"/>
      <w:tblBorders>
        <w:top w:val="single" w:sz="4" w:space="0" w:color="387025" w:themeColor="accent6"/>
        <w:bottom w:val="single" w:sz="4" w:space="0" w:color="38702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8702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870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8" w:themeFill="accent6" w:themeFillTint="33"/>
      </w:tcPr>
    </w:tblStylePr>
    <w:tblStylePr w:type="band1Horz">
      <w:tblPr/>
      <w:tcPr>
        <w:shd w:val="clear" w:color="auto" w:fill="D1EDC8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802CB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306118"/>
    <w:tblPr>
      <w:tblStyleRowBandSize w:val="1"/>
      <w:tblStyleColBandSize w:val="1"/>
      <w:tblBorders>
        <w:top w:val="single" w:sz="4" w:space="0" w:color="A4DB92" w:themeColor="accent6" w:themeTint="66"/>
        <w:left w:val="single" w:sz="4" w:space="0" w:color="A4DB92" w:themeColor="accent6" w:themeTint="66"/>
        <w:bottom w:val="single" w:sz="4" w:space="0" w:color="A4DB92" w:themeColor="accent6" w:themeTint="66"/>
        <w:right w:val="single" w:sz="4" w:space="0" w:color="A4DB92" w:themeColor="accent6" w:themeTint="66"/>
        <w:insideH w:val="single" w:sz="4" w:space="0" w:color="A4DB92" w:themeColor="accent6" w:themeTint="66"/>
        <w:insideV w:val="single" w:sz="4" w:space="0" w:color="A4DB9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7C9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9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F1B8A"/>
    <w:rPr>
      <w:rFonts w:ascii="Arial" w:eastAsiaTheme="majorEastAsia" w:hAnsi="Arial" w:cstheme="majorBidi"/>
      <w:b/>
      <w:color w:val="0C5699" w:themeColor="accent1" w:themeShade="80"/>
      <w:sz w:val="2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F1B8A"/>
    <w:rPr>
      <w:rFonts w:ascii="Arial" w:eastAsiaTheme="majorEastAsia" w:hAnsi="Arial" w:cstheme="majorBidi"/>
      <w:color w:val="1280E5" w:themeColor="accent1" w:themeShade="BF"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346"/>
    <w:rPr>
      <w:rFonts w:ascii="Arial" w:eastAsiaTheme="majorEastAsia" w:hAnsi="Arial" w:cstheme="majorBidi"/>
      <w:color w:val="1280E5" w:themeColor="accent1" w:themeShade="BF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36F9"/>
    <w:rPr>
      <w:rFonts w:asciiTheme="majorHAnsi" w:eastAsiaTheme="majorEastAsia" w:hAnsiTheme="majorHAnsi" w:cstheme="majorBidi"/>
      <w:color w:val="1280E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6F9"/>
    <w:rPr>
      <w:rFonts w:asciiTheme="majorHAnsi" w:eastAsiaTheme="majorEastAsia" w:hAnsiTheme="majorHAnsi" w:cstheme="majorBidi"/>
      <w:i/>
      <w:iCs/>
      <w:caps/>
      <w:color w:val="0C569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6F9"/>
    <w:rPr>
      <w:rFonts w:asciiTheme="majorHAnsi" w:eastAsiaTheme="majorEastAsia" w:hAnsiTheme="majorHAnsi" w:cstheme="majorBidi"/>
      <w:b/>
      <w:bCs/>
      <w:color w:val="0C569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7036F9"/>
    <w:rPr>
      <w:rFonts w:asciiTheme="majorHAnsi" w:eastAsiaTheme="majorEastAsia" w:hAnsiTheme="majorHAnsi" w:cstheme="majorBidi"/>
      <w:b/>
      <w:bCs/>
      <w:i/>
      <w:iCs/>
      <w:color w:val="0C569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6F9"/>
    <w:rPr>
      <w:rFonts w:asciiTheme="majorHAnsi" w:eastAsiaTheme="majorEastAsia" w:hAnsiTheme="majorHAnsi" w:cstheme="majorBidi"/>
      <w:i/>
      <w:iCs/>
      <w:color w:val="0C5699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7036F9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6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9A9F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6F9"/>
    <w:rPr>
      <w:rFonts w:asciiTheme="majorHAnsi" w:eastAsiaTheme="majorEastAsia" w:hAnsiTheme="majorHAnsi" w:cstheme="majorBidi"/>
      <w:color w:val="59A9F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036F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036F9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36F9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6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6F9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036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36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36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036F9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036F9"/>
    <w:rPr>
      <w:b/>
      <w:bCs/>
      <w:smallCaps/>
      <w:spacing w:val="10"/>
    </w:rPr>
  </w:style>
  <w:style w:type="paragraph" w:styleId="TOC3">
    <w:name w:val="toc 3"/>
    <w:basedOn w:val="Normal"/>
    <w:next w:val="Normal"/>
    <w:autoRedefine/>
    <w:uiPriority w:val="39"/>
    <w:unhideWhenUsed/>
    <w:rsid w:val="00075966"/>
    <w:pPr>
      <w:spacing w:after="100"/>
      <w:ind w:left="440"/>
    </w:pPr>
  </w:style>
  <w:style w:type="table" w:styleId="GridTable2-Accent6">
    <w:name w:val="Grid Table 2 Accent 6"/>
    <w:basedOn w:val="TableNormal"/>
    <w:uiPriority w:val="47"/>
    <w:rsid w:val="00B069E2"/>
    <w:pPr>
      <w:spacing w:after="0" w:line="240" w:lineRule="auto"/>
    </w:pPr>
    <w:tblPr>
      <w:tblStyleRowBandSize w:val="1"/>
      <w:tblStyleColBandSize w:val="1"/>
      <w:tblBorders>
        <w:top w:val="single" w:sz="2" w:space="0" w:color="77C95C" w:themeColor="accent6" w:themeTint="99"/>
        <w:bottom w:val="single" w:sz="2" w:space="0" w:color="77C95C" w:themeColor="accent6" w:themeTint="99"/>
        <w:insideH w:val="single" w:sz="2" w:space="0" w:color="77C95C" w:themeColor="accent6" w:themeTint="99"/>
        <w:insideV w:val="single" w:sz="2" w:space="0" w:color="77C95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95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95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8" w:themeFill="accent6" w:themeFillTint="33"/>
      </w:tcPr>
    </w:tblStylePr>
    <w:tblStylePr w:type="band1Horz">
      <w:tblPr/>
      <w:tcPr>
        <w:shd w:val="clear" w:color="auto" w:fill="D1EDC8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337614"/>
    <w:pPr>
      <w:spacing w:after="0" w:line="240" w:lineRule="auto"/>
    </w:pPr>
    <w:tblPr>
      <w:tblStyleRowBandSize w:val="1"/>
      <w:tblStyleColBandSize w:val="1"/>
      <w:tblBorders>
        <w:top w:val="single" w:sz="2" w:space="0" w:color="3A9AF0" w:themeColor="accent2" w:themeTint="99"/>
        <w:bottom w:val="single" w:sz="2" w:space="0" w:color="3A9AF0" w:themeColor="accent2" w:themeTint="99"/>
        <w:insideH w:val="single" w:sz="2" w:space="0" w:color="3A9AF0" w:themeColor="accent2" w:themeTint="99"/>
        <w:insideV w:val="single" w:sz="2" w:space="0" w:color="3A9A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9A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9A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DFA" w:themeFill="accent2" w:themeFillTint="33"/>
      </w:tcPr>
    </w:tblStylePr>
    <w:tblStylePr w:type="band1Horz">
      <w:tblPr/>
      <w:tcPr>
        <w:shd w:val="clear" w:color="auto" w:fill="BDDDFA" w:themeFill="accent2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114C0"/>
  </w:style>
  <w:style w:type="table" w:styleId="TableGridLight">
    <w:name w:val="Grid Table Light"/>
    <w:basedOn w:val="TableNormal"/>
    <w:uiPriority w:val="40"/>
    <w:rsid w:val="00B467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5">
    <w:name w:val="Grid Table 5 Dark Accent 5"/>
    <w:basedOn w:val="TableNormal"/>
    <w:uiPriority w:val="50"/>
    <w:rsid w:val="00B46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8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8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8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838" w:themeFill="accent5"/>
      </w:tcPr>
    </w:tblStylePr>
    <w:tblStylePr w:type="band1Vert">
      <w:tblPr/>
      <w:tcPr>
        <w:shd w:val="clear" w:color="auto" w:fill="B7E2A9" w:themeFill="accent5" w:themeFillTint="66"/>
      </w:tcPr>
    </w:tblStylePr>
    <w:tblStylePr w:type="band1Horz">
      <w:tblPr/>
      <w:tcPr>
        <w:shd w:val="clear" w:color="auto" w:fill="B7E2A9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D930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D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9F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9F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A9F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A9F2" w:themeFill="accent1"/>
      </w:tcPr>
    </w:tblStylePr>
    <w:tblStylePr w:type="band1Vert">
      <w:tblPr/>
      <w:tcPr>
        <w:shd w:val="clear" w:color="auto" w:fill="BCDCF9" w:themeFill="accent1" w:themeFillTint="66"/>
      </w:tcPr>
    </w:tblStylePr>
    <w:tblStylePr w:type="band1Horz">
      <w:tblPr/>
      <w:tcPr>
        <w:shd w:val="clear" w:color="auto" w:fill="BCDCF9" w:themeFill="accent1" w:themeFillTint="66"/>
      </w:tcPr>
    </w:tblStylePr>
  </w:style>
  <w:style w:type="table" w:customStyle="1" w:styleId="GridTable2-Accent21">
    <w:name w:val="Grid Table 2 - Accent 21"/>
    <w:basedOn w:val="TableNormal"/>
    <w:uiPriority w:val="47"/>
    <w:rsid w:val="002101A9"/>
    <w:pPr>
      <w:spacing w:after="0" w:line="240" w:lineRule="auto"/>
    </w:pPr>
    <w:tblPr>
      <w:tblStyleRowBandSize w:val="1"/>
      <w:tblStyleColBandSize w:val="1"/>
      <w:tblBorders>
        <w:top w:val="single" w:sz="2" w:space="0" w:color="3A9AF0" w:themeColor="accent2" w:themeTint="99"/>
        <w:bottom w:val="single" w:sz="2" w:space="0" w:color="3A9AF0" w:themeColor="accent2" w:themeTint="99"/>
        <w:insideH w:val="single" w:sz="2" w:space="0" w:color="3A9AF0" w:themeColor="accent2" w:themeTint="99"/>
        <w:insideV w:val="single" w:sz="2" w:space="0" w:color="3A9A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9A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9A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DFA" w:themeFill="accent2" w:themeFillTint="33"/>
      </w:tcPr>
    </w:tblStylePr>
    <w:tblStylePr w:type="band1Horz">
      <w:tblPr/>
      <w:tcPr>
        <w:shd w:val="clear" w:color="auto" w:fill="BDDDFA" w:themeFill="accent2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10299"/>
    <w:pPr>
      <w:spacing w:after="0" w:line="240" w:lineRule="auto"/>
    </w:pPr>
    <w:rPr>
      <w:lang w:val="ro-RO" w:eastAsia="ro-RO" w:bidi="ro-RO"/>
    </w:rPr>
    <w:tblPr>
      <w:tblStyleRowBandSize w:val="1"/>
      <w:tblStyleColBandSize w:val="1"/>
      <w:tblBorders>
        <w:top w:val="single" w:sz="2" w:space="0" w:color="77C95C" w:themeColor="accent6" w:themeTint="99"/>
        <w:bottom w:val="single" w:sz="2" w:space="0" w:color="77C95C" w:themeColor="accent6" w:themeTint="99"/>
        <w:insideH w:val="single" w:sz="2" w:space="0" w:color="77C95C" w:themeColor="accent6" w:themeTint="99"/>
        <w:insideV w:val="single" w:sz="2" w:space="0" w:color="77C95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95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95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8" w:themeFill="accent6" w:themeFillTint="33"/>
      </w:tcPr>
    </w:tblStylePr>
    <w:tblStylePr w:type="band1Horz">
      <w:tblPr/>
      <w:tcPr>
        <w:shd w:val="clear" w:color="auto" w:fill="D1EDC8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110299"/>
    <w:pPr>
      <w:spacing w:after="0" w:line="240" w:lineRule="auto"/>
    </w:pPr>
    <w:rPr>
      <w:lang w:val="ro-RO" w:eastAsia="ro-RO" w:bidi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D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9F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9F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A9F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A9F2" w:themeFill="accent1"/>
      </w:tcPr>
    </w:tblStylePr>
    <w:tblStylePr w:type="band1Vert">
      <w:tblPr/>
      <w:tcPr>
        <w:shd w:val="clear" w:color="auto" w:fill="BCDCF9" w:themeFill="accent1" w:themeFillTint="66"/>
      </w:tcPr>
    </w:tblStylePr>
    <w:tblStylePr w:type="band1Horz">
      <w:tblPr/>
      <w:tcPr>
        <w:shd w:val="clear" w:color="auto" w:fill="BCDCF9" w:themeFill="accent1" w:themeFillTint="66"/>
      </w:tcPr>
    </w:tblStylePr>
  </w:style>
  <w:style w:type="table" w:customStyle="1" w:styleId="GridTable2-Accent211">
    <w:name w:val="Grid Table 2 - Accent 211"/>
    <w:basedOn w:val="TableNormal"/>
    <w:uiPriority w:val="47"/>
    <w:rsid w:val="009976D0"/>
    <w:pPr>
      <w:spacing w:after="0" w:line="240" w:lineRule="auto"/>
    </w:pPr>
    <w:tblPr>
      <w:tblStyleRowBandSize w:val="1"/>
      <w:tblStyleColBandSize w:val="1"/>
      <w:tblBorders>
        <w:top w:val="single" w:sz="2" w:space="0" w:color="3A9AF0" w:themeColor="accent2" w:themeTint="99"/>
        <w:bottom w:val="single" w:sz="2" w:space="0" w:color="3A9AF0" w:themeColor="accent2" w:themeTint="99"/>
        <w:insideH w:val="single" w:sz="2" w:space="0" w:color="3A9AF0" w:themeColor="accent2" w:themeTint="99"/>
        <w:insideV w:val="single" w:sz="2" w:space="0" w:color="3A9A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9A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9A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DFA" w:themeFill="accent2" w:themeFillTint="33"/>
      </w:tcPr>
    </w:tblStylePr>
    <w:tblStylePr w:type="band1Horz">
      <w:tblPr/>
      <w:tcPr>
        <w:shd w:val="clear" w:color="auto" w:fill="BDDDF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numbering" Target="numbering.xml"/><Relationship Id="rId21" Type="http://schemas.microsoft.com/office/2007/relationships/diagramDrawing" Target="diagrams/drawing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diagramQuickStyle" Target="diagrams/quickStyle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diagramLayout" Target="diagrams/layout2.xml"/><Relationship Id="rId28" Type="http://schemas.openxmlformats.org/officeDocument/2006/relationships/image" Target="cid:image002.png@01D52132.1A836DC0" TargetMode="Externa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1.xm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diagramData" Target="diagrams/data2.xml"/><Relationship Id="rId27" Type="http://schemas.openxmlformats.org/officeDocument/2006/relationships/image" Target="media/image5.gi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+40)21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Tel:(+40)21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ca.vlad\Application%20Data\Microsoft\Templates\Scrisoare%20Engleza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r>
              <a:rPr lang="en-US" sz="1000"/>
              <a:t>Evolutia Inflatiei si a ratei de schimb RON/ EUR</a:t>
            </a:r>
          </a:p>
        </c:rich>
      </c:tx>
      <c:layout>
        <c:manualLayout>
          <c:xMode val="edge"/>
          <c:yMode val="edge"/>
          <c:x val="0.23487563164924669"/>
          <c:y val="4.0983606557377046E-2"/>
        </c:manualLayout>
      </c:layout>
      <c:overlay val="0"/>
      <c:spPr>
        <a:solidFill>
          <a:srgbClr val="FFFFFF"/>
        </a:solidFill>
        <a:ln w="0">
          <a:solidFill>
            <a:srgbClr val="003366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7.295380003909728E-2"/>
          <c:y val="0.2336070248603693"/>
          <c:w val="0.90213601511761765"/>
          <c:h val="0.5377897846451201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Infl!$B$2</c:f>
              <c:strCache>
                <c:ptCount val="1"/>
                <c:pt idx="0">
                  <c:v>Inflation (%)</c:v>
                </c:pt>
              </c:strCache>
            </c:strRef>
          </c:tx>
          <c:spPr>
            <a:pattFill prst="pct50">
              <a:fgClr>
                <a:srgbClr xmlns:mc="http://schemas.openxmlformats.org/markup-compatibility/2006" xmlns:a14="http://schemas.microsoft.com/office/drawing/2010/main" val="003366" mc:Ignorable="a14" a14:legacySpreadsheetColorIndex="56"/>
              </a:fgClr>
              <a:bgClr>
                <a:srgbClr xmlns:mc="http://schemas.openxmlformats.org/markup-compatibility/2006" xmlns:a14="http://schemas.microsoft.com/office/drawing/2010/main" val="CCFFFF" mc:Ignorable="a14" a14:legacySpreadsheetColorIndex="27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0"/>
                  <c:y val="-4.6367851622874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ABE-402E-8779-C92765C3E7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Infl!$A$17:$A$24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Infl!$B$17:$B$24</c:f>
              <c:numCache>
                <c:formatCode>0.00%</c:formatCode>
                <c:ptCount val="8"/>
                <c:pt idx="0">
                  <c:v>5.79E-2</c:v>
                </c:pt>
                <c:pt idx="1">
                  <c:v>3.3300000000000003E-2</c:v>
                </c:pt>
                <c:pt idx="2">
                  <c:v>3.9800000000000002E-2</c:v>
                </c:pt>
                <c:pt idx="3">
                  <c:v>1.0699999999999999E-2</c:v>
                </c:pt>
                <c:pt idx="4">
                  <c:v>-6.0000000000000001E-3</c:v>
                </c:pt>
                <c:pt idx="5">
                  <c:v>-1.55E-2</c:v>
                </c:pt>
                <c:pt idx="6">
                  <c:v>1.34E-2</c:v>
                </c:pt>
                <c:pt idx="7">
                  <c:v>4.6300000000000001E-2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ED-4F29-9D1F-D66A0BE228A0}"/>
            </c:ext>
          </c:extLst>
        </c:ser>
        <c:ser>
          <c:idx val="0"/>
          <c:order val="1"/>
          <c:tx>
            <c:strRef>
              <c:f>Infl!$C$2</c:f>
              <c:strCache>
                <c:ptCount val="1"/>
                <c:pt idx="0">
                  <c:v>Exchange Rate at Year End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1866235570377241E-2"/>
                  <c:y val="5.3743738008163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0ED-4F29-9D1F-D66A0BE228A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929884563017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0ED-4F29-9D1F-D66A0BE228A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732471140754485E-3"/>
                  <c:y val="2.687186900408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0ED-4F29-9D1F-D66A0BE228A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Infl!$A$17:$A$24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Infl!$D$17:$D$24</c:f>
              <c:numCache>
                <c:formatCode>0.0%</c:formatCode>
                <c:ptCount val="8"/>
                <c:pt idx="0" formatCode="0%">
                  <c:v>8.1450709484691686E-3</c:v>
                </c:pt>
                <c:pt idx="1">
                  <c:v>3.3583831217326443E-2</c:v>
                </c:pt>
                <c:pt idx="2">
                  <c:v>3.8197097020626458E-2</c:v>
                </c:pt>
                <c:pt idx="3">
                  <c:v>-5.7974892411982726E-4</c:v>
                </c:pt>
                <c:pt idx="4">
                  <c:v>8.874618146141211E-3</c:v>
                </c:pt>
                <c:pt idx="5">
                  <c:v>3.6689136921208565E-3</c:v>
                </c:pt>
                <c:pt idx="6">
                  <c:v>2.6117020105260735E-2</c:v>
                </c:pt>
                <c:pt idx="7">
                  <c:v>9.0134558018761801E-4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ED-4F29-9D1F-D66A0BE22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79556400"/>
        <c:axId val="-1779561840"/>
      </c:barChart>
      <c:catAx>
        <c:axId val="-17795564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1779561840"/>
        <c:crosses val="autoZero"/>
        <c:auto val="0"/>
        <c:lblAlgn val="ctr"/>
        <c:lblOffset val="300"/>
        <c:tickLblSkip val="1"/>
        <c:tickMarkSkip val="1"/>
        <c:noMultiLvlLbl val="0"/>
      </c:catAx>
      <c:valAx>
        <c:axId val="-1779561840"/>
        <c:scaling>
          <c:orientation val="minMax"/>
        </c:scaling>
        <c:delete val="0"/>
        <c:axPos val="l"/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1779556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277580071174377"/>
          <c:y val="0.89344262295081966"/>
          <c:w val="0.81316725978647686"/>
          <c:h val="8.196721311475409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25400">
      <a:solidFill>
        <a:srgbClr val="003366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B557B-77C4-41F9-A54B-EAC860720945}" type="doc">
      <dgm:prSet loTypeId="urn:microsoft.com/office/officeart/2005/8/layout/cycle1" loCatId="cycle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44AA1642-CB1F-493C-B985-6BE0CB19B0F7}">
      <dgm:prSet phldrT="[Text]" custT="1"/>
      <dgm:spPr/>
      <dgm:t>
        <a:bodyPr/>
        <a:lstStyle/>
        <a:p>
          <a:pPr algn="ctr"/>
          <a:r>
            <a:rPr lang="ro-RO" sz="800" b="1"/>
            <a:t>PREVENIREA</a:t>
          </a:r>
          <a:r>
            <a:rPr lang="ro-RO" sz="800"/>
            <a:t> repetarii incidentului prin luarea de masuri corective si impartasirea lectiilor invatate</a:t>
          </a:r>
        </a:p>
      </dgm:t>
    </dgm:pt>
    <dgm:pt modelId="{29C01218-0D06-4AA4-B0D3-3304CF6BA423}" type="parTrans" cxnId="{2090C470-2CC4-4CAC-8573-EEE927F73D3C}">
      <dgm:prSet/>
      <dgm:spPr/>
      <dgm:t>
        <a:bodyPr/>
        <a:lstStyle/>
        <a:p>
          <a:pPr algn="ctr"/>
          <a:endParaRPr lang="en-US"/>
        </a:p>
      </dgm:t>
    </dgm:pt>
    <dgm:pt modelId="{F7C79E6D-26F8-41BA-BE76-C3400E728B3F}" type="sibTrans" cxnId="{2090C470-2CC4-4CAC-8573-EEE927F73D3C}">
      <dgm:prSet/>
      <dgm:spPr/>
      <dgm:t>
        <a:bodyPr/>
        <a:lstStyle/>
        <a:p>
          <a:pPr algn="ctr"/>
          <a:endParaRPr lang="en-US"/>
        </a:p>
      </dgm:t>
    </dgm:pt>
    <dgm:pt modelId="{F8AEF21F-1A36-4663-9480-774A1A4C26C7}">
      <dgm:prSet phldrT="[Text]" custT="1"/>
      <dgm:spPr/>
      <dgm:t>
        <a:bodyPr/>
        <a:lstStyle/>
        <a:p>
          <a:pPr algn="ctr"/>
          <a:r>
            <a:rPr lang="ro-RO" sz="800" b="1"/>
            <a:t>IMBUNATATIREA</a:t>
          </a:r>
          <a:r>
            <a:rPr lang="ro-RO" sz="800"/>
            <a:t> performantelor schimband metodele de operare, facand schimb de bune practici si luand in considerare toti factorii tehnici, umani si organizationali prin analiza colectiva aprofundata a incidentelor</a:t>
          </a:r>
        </a:p>
      </dgm:t>
    </dgm:pt>
    <dgm:pt modelId="{ACBE7C5D-1917-48D5-9F04-9267809F5E3E}" type="parTrans" cxnId="{37F5C446-0FC6-45A7-9604-A7B4FB9B7E36}">
      <dgm:prSet/>
      <dgm:spPr/>
      <dgm:t>
        <a:bodyPr/>
        <a:lstStyle/>
        <a:p>
          <a:pPr algn="ctr"/>
          <a:endParaRPr lang="en-US"/>
        </a:p>
      </dgm:t>
    </dgm:pt>
    <dgm:pt modelId="{1FF5A183-3499-425C-BD8E-AF4158E135CF}" type="sibTrans" cxnId="{37F5C446-0FC6-45A7-9604-A7B4FB9B7E36}">
      <dgm:prSet/>
      <dgm:spPr/>
      <dgm:t>
        <a:bodyPr/>
        <a:lstStyle/>
        <a:p>
          <a:pPr algn="ctr"/>
          <a:endParaRPr lang="en-US"/>
        </a:p>
      </dgm:t>
    </dgm:pt>
    <dgm:pt modelId="{9D3E65E8-ABDE-4A3F-920B-3224D13A3596}">
      <dgm:prSet phldrT="[Text]" custT="1"/>
      <dgm:spPr/>
      <dgm:t>
        <a:bodyPr/>
        <a:lstStyle/>
        <a:p>
          <a:pPr algn="ctr"/>
          <a:r>
            <a:rPr lang="ro-RO" sz="800" b="1"/>
            <a:t>VALORIFICAREA</a:t>
          </a:r>
          <a:r>
            <a:rPr lang="ro-RO" sz="800"/>
            <a:t> contributiei pozitive a personalului operational la siguranta sarcinilor de lucru, a operatiunilor si a instalatiilor.</a:t>
          </a:r>
        </a:p>
      </dgm:t>
    </dgm:pt>
    <dgm:pt modelId="{CE839A09-DF1B-494D-9B59-B98C86FD90BB}" type="parTrans" cxnId="{0882B439-2C83-413B-8573-79E316110FA3}">
      <dgm:prSet/>
      <dgm:spPr/>
      <dgm:t>
        <a:bodyPr/>
        <a:lstStyle/>
        <a:p>
          <a:pPr algn="ctr"/>
          <a:endParaRPr lang="en-US"/>
        </a:p>
      </dgm:t>
    </dgm:pt>
    <dgm:pt modelId="{801A4E39-05F4-4D49-A148-BF7D29A632E9}" type="sibTrans" cxnId="{0882B439-2C83-413B-8573-79E316110FA3}">
      <dgm:prSet/>
      <dgm:spPr/>
      <dgm:t>
        <a:bodyPr/>
        <a:lstStyle/>
        <a:p>
          <a:pPr algn="ctr"/>
          <a:endParaRPr lang="en-US"/>
        </a:p>
      </dgm:t>
    </dgm:pt>
    <dgm:pt modelId="{81A2BEAB-1229-47C3-A02F-311997DDE737}">
      <dgm:prSet phldrT="[Text]" custT="1"/>
      <dgm:spPr/>
      <dgm:t>
        <a:bodyPr/>
        <a:lstStyle/>
        <a:p>
          <a:pPr algn="ctr"/>
          <a:r>
            <a:rPr lang="ro-RO" sz="800" b="1"/>
            <a:t>IDENTIFICAREA</a:t>
          </a:r>
          <a:r>
            <a:rPr lang="ro-RO" sz="800"/>
            <a:t> factorilor care contribuie la aparitia incidentelor prin revenirea la analiza cauzelor de baza</a:t>
          </a:r>
        </a:p>
      </dgm:t>
    </dgm:pt>
    <dgm:pt modelId="{95077340-0B87-4AFC-AB64-F757F1D8D3B3}" type="parTrans" cxnId="{F4A7FEF8-3890-42FF-9C34-57CB4D096D81}">
      <dgm:prSet/>
      <dgm:spPr/>
      <dgm:t>
        <a:bodyPr/>
        <a:lstStyle/>
        <a:p>
          <a:pPr algn="ctr"/>
          <a:endParaRPr lang="en-US"/>
        </a:p>
      </dgm:t>
    </dgm:pt>
    <dgm:pt modelId="{2E274496-176F-4E61-9BDC-45DC107C53A7}" type="sibTrans" cxnId="{F4A7FEF8-3890-42FF-9C34-57CB4D096D81}">
      <dgm:prSet/>
      <dgm:spPr/>
      <dgm:t>
        <a:bodyPr/>
        <a:lstStyle/>
        <a:p>
          <a:pPr algn="ctr"/>
          <a:endParaRPr lang="en-US"/>
        </a:p>
      </dgm:t>
    </dgm:pt>
    <dgm:pt modelId="{E5B5FD0D-7370-422E-BA89-49B477E7645F}" type="pres">
      <dgm:prSet presAssocID="{28FB557B-77C4-41F9-A54B-EAC86072094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517BEC4-AC6A-4EA5-9173-38619CA719B3}" type="pres">
      <dgm:prSet presAssocID="{44AA1642-CB1F-493C-B985-6BE0CB19B0F7}" presName="dummy" presStyleCnt="0"/>
      <dgm:spPr/>
    </dgm:pt>
    <dgm:pt modelId="{CBBB77E6-DEB4-4021-9387-C6EBC63444D7}" type="pres">
      <dgm:prSet presAssocID="{44AA1642-CB1F-493C-B985-6BE0CB19B0F7}" presName="node" presStyleLbl="revTx" presStyleIdx="0" presStyleCnt="4" custScaleX="140345" custScaleY="61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8DC6FE-ECC8-4316-991B-388CB6C4D5E1}" type="pres">
      <dgm:prSet presAssocID="{F7C79E6D-26F8-41BA-BE76-C3400E728B3F}" presName="sibTrans" presStyleLbl="node1" presStyleIdx="0" presStyleCnt="4" custScaleX="122096"/>
      <dgm:spPr/>
      <dgm:t>
        <a:bodyPr/>
        <a:lstStyle/>
        <a:p>
          <a:endParaRPr lang="en-US"/>
        </a:p>
      </dgm:t>
    </dgm:pt>
    <dgm:pt modelId="{B1431001-92BA-4816-82B0-40AE219EEF92}" type="pres">
      <dgm:prSet presAssocID="{F8AEF21F-1A36-4663-9480-774A1A4C26C7}" presName="dummy" presStyleCnt="0"/>
      <dgm:spPr/>
    </dgm:pt>
    <dgm:pt modelId="{02537675-0208-435E-819D-2395D5312152}" type="pres">
      <dgm:prSet presAssocID="{F8AEF21F-1A36-4663-9480-774A1A4C26C7}" presName="node" presStyleLbl="revTx" presStyleIdx="1" presStyleCnt="4" custScaleX="1269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DF4FF7-E4A9-469D-91B3-F6B92716E3B8}" type="pres">
      <dgm:prSet presAssocID="{1FF5A183-3499-425C-BD8E-AF4158E135CF}" presName="sibTrans" presStyleLbl="node1" presStyleIdx="1" presStyleCnt="4"/>
      <dgm:spPr/>
      <dgm:t>
        <a:bodyPr/>
        <a:lstStyle/>
        <a:p>
          <a:endParaRPr lang="en-US"/>
        </a:p>
      </dgm:t>
    </dgm:pt>
    <dgm:pt modelId="{0E099CE3-D1BC-4EAE-BC8F-B92606CAB5DE}" type="pres">
      <dgm:prSet presAssocID="{9D3E65E8-ABDE-4A3F-920B-3224D13A3596}" presName="dummy" presStyleCnt="0"/>
      <dgm:spPr/>
    </dgm:pt>
    <dgm:pt modelId="{67649355-A886-42A3-8AC4-7E48F52BD640}" type="pres">
      <dgm:prSet presAssocID="{9D3E65E8-ABDE-4A3F-920B-3224D13A3596}" presName="node" presStyleLbl="revTx" presStyleIdx="2" presStyleCnt="4" custScaleX="1085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515AB-479B-4D9A-8B59-820D3F2D6335}" type="pres">
      <dgm:prSet presAssocID="{801A4E39-05F4-4D49-A148-BF7D29A632E9}" presName="sibTrans" presStyleLbl="node1" presStyleIdx="2" presStyleCnt="4" custScaleX="137441"/>
      <dgm:spPr/>
      <dgm:t>
        <a:bodyPr/>
        <a:lstStyle/>
        <a:p>
          <a:endParaRPr lang="en-US"/>
        </a:p>
      </dgm:t>
    </dgm:pt>
    <dgm:pt modelId="{70270A25-9486-4432-925A-2617CCF0FACD}" type="pres">
      <dgm:prSet presAssocID="{81A2BEAB-1229-47C3-A02F-311997DDE737}" presName="dummy" presStyleCnt="0"/>
      <dgm:spPr/>
    </dgm:pt>
    <dgm:pt modelId="{723BA1F9-0E17-4A1A-92C1-9BF6F18C1F32}" type="pres">
      <dgm:prSet presAssocID="{81A2BEAB-1229-47C3-A02F-311997DDE737}" presName="node" presStyleLbl="revTx" presStyleIdx="3" presStyleCnt="4" custScaleX="106743" custScaleY="828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AFDD2B-3BF1-42C6-8874-CAC191353421}" type="pres">
      <dgm:prSet presAssocID="{2E274496-176F-4E61-9BDC-45DC107C53A7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552D56C9-98DC-4A38-A916-1D609206765E}" type="presOf" srcId="{28FB557B-77C4-41F9-A54B-EAC860720945}" destId="{E5B5FD0D-7370-422E-BA89-49B477E7645F}" srcOrd="0" destOrd="0" presId="urn:microsoft.com/office/officeart/2005/8/layout/cycle1"/>
    <dgm:cxn modelId="{37F5C446-0FC6-45A7-9604-A7B4FB9B7E36}" srcId="{28FB557B-77C4-41F9-A54B-EAC860720945}" destId="{F8AEF21F-1A36-4663-9480-774A1A4C26C7}" srcOrd="1" destOrd="0" parTransId="{ACBE7C5D-1917-48D5-9F04-9267809F5E3E}" sibTransId="{1FF5A183-3499-425C-BD8E-AF4158E135CF}"/>
    <dgm:cxn modelId="{F4A7FEF8-3890-42FF-9C34-57CB4D096D81}" srcId="{28FB557B-77C4-41F9-A54B-EAC860720945}" destId="{81A2BEAB-1229-47C3-A02F-311997DDE737}" srcOrd="3" destOrd="0" parTransId="{95077340-0B87-4AFC-AB64-F757F1D8D3B3}" sibTransId="{2E274496-176F-4E61-9BDC-45DC107C53A7}"/>
    <dgm:cxn modelId="{1B6F1E33-23B1-4980-A470-0FEE0C911DA3}" type="presOf" srcId="{2E274496-176F-4E61-9BDC-45DC107C53A7}" destId="{91AFDD2B-3BF1-42C6-8874-CAC191353421}" srcOrd="0" destOrd="0" presId="urn:microsoft.com/office/officeart/2005/8/layout/cycle1"/>
    <dgm:cxn modelId="{66163B53-BFAF-47C6-A946-D86198D9055F}" type="presOf" srcId="{1FF5A183-3499-425C-BD8E-AF4158E135CF}" destId="{A5DF4FF7-E4A9-469D-91B3-F6B92716E3B8}" srcOrd="0" destOrd="0" presId="urn:microsoft.com/office/officeart/2005/8/layout/cycle1"/>
    <dgm:cxn modelId="{BD2E830D-35A9-4512-8122-EB567662CF2C}" type="presOf" srcId="{81A2BEAB-1229-47C3-A02F-311997DDE737}" destId="{723BA1F9-0E17-4A1A-92C1-9BF6F18C1F32}" srcOrd="0" destOrd="0" presId="urn:microsoft.com/office/officeart/2005/8/layout/cycle1"/>
    <dgm:cxn modelId="{22EE5F30-37D8-42F6-BAB7-A30642324728}" type="presOf" srcId="{801A4E39-05F4-4D49-A148-BF7D29A632E9}" destId="{129515AB-479B-4D9A-8B59-820D3F2D6335}" srcOrd="0" destOrd="0" presId="urn:microsoft.com/office/officeart/2005/8/layout/cycle1"/>
    <dgm:cxn modelId="{0882B439-2C83-413B-8573-79E316110FA3}" srcId="{28FB557B-77C4-41F9-A54B-EAC860720945}" destId="{9D3E65E8-ABDE-4A3F-920B-3224D13A3596}" srcOrd="2" destOrd="0" parTransId="{CE839A09-DF1B-494D-9B59-B98C86FD90BB}" sibTransId="{801A4E39-05F4-4D49-A148-BF7D29A632E9}"/>
    <dgm:cxn modelId="{BCF1B71D-E32F-4227-9766-80189FAA08CF}" type="presOf" srcId="{44AA1642-CB1F-493C-B985-6BE0CB19B0F7}" destId="{CBBB77E6-DEB4-4021-9387-C6EBC63444D7}" srcOrd="0" destOrd="0" presId="urn:microsoft.com/office/officeart/2005/8/layout/cycle1"/>
    <dgm:cxn modelId="{A0783242-3C72-4959-BEE2-05159A2F7623}" type="presOf" srcId="{9D3E65E8-ABDE-4A3F-920B-3224D13A3596}" destId="{67649355-A886-42A3-8AC4-7E48F52BD640}" srcOrd="0" destOrd="0" presId="urn:microsoft.com/office/officeart/2005/8/layout/cycle1"/>
    <dgm:cxn modelId="{413675E7-6B1E-45CA-8C63-0E15DC0446FD}" type="presOf" srcId="{F8AEF21F-1A36-4663-9480-774A1A4C26C7}" destId="{02537675-0208-435E-819D-2395D5312152}" srcOrd="0" destOrd="0" presId="urn:microsoft.com/office/officeart/2005/8/layout/cycle1"/>
    <dgm:cxn modelId="{2090C470-2CC4-4CAC-8573-EEE927F73D3C}" srcId="{28FB557B-77C4-41F9-A54B-EAC860720945}" destId="{44AA1642-CB1F-493C-B985-6BE0CB19B0F7}" srcOrd="0" destOrd="0" parTransId="{29C01218-0D06-4AA4-B0D3-3304CF6BA423}" sibTransId="{F7C79E6D-26F8-41BA-BE76-C3400E728B3F}"/>
    <dgm:cxn modelId="{9FBB3443-B2FA-4BB5-BB7F-5681B6D027C1}" type="presOf" srcId="{F7C79E6D-26F8-41BA-BE76-C3400E728B3F}" destId="{1A8DC6FE-ECC8-4316-991B-388CB6C4D5E1}" srcOrd="0" destOrd="0" presId="urn:microsoft.com/office/officeart/2005/8/layout/cycle1"/>
    <dgm:cxn modelId="{2B4239C3-B005-412B-B8E0-C5A472F877A3}" type="presParOf" srcId="{E5B5FD0D-7370-422E-BA89-49B477E7645F}" destId="{1517BEC4-AC6A-4EA5-9173-38619CA719B3}" srcOrd="0" destOrd="0" presId="urn:microsoft.com/office/officeart/2005/8/layout/cycle1"/>
    <dgm:cxn modelId="{BE85CA87-38C3-469D-8449-B91844FE4CF5}" type="presParOf" srcId="{E5B5FD0D-7370-422E-BA89-49B477E7645F}" destId="{CBBB77E6-DEB4-4021-9387-C6EBC63444D7}" srcOrd="1" destOrd="0" presId="urn:microsoft.com/office/officeart/2005/8/layout/cycle1"/>
    <dgm:cxn modelId="{D4104372-9ABC-4C69-A318-396AAB33D125}" type="presParOf" srcId="{E5B5FD0D-7370-422E-BA89-49B477E7645F}" destId="{1A8DC6FE-ECC8-4316-991B-388CB6C4D5E1}" srcOrd="2" destOrd="0" presId="urn:microsoft.com/office/officeart/2005/8/layout/cycle1"/>
    <dgm:cxn modelId="{2F226EF7-E248-4A53-BC7C-B6CA9A34D637}" type="presParOf" srcId="{E5B5FD0D-7370-422E-BA89-49B477E7645F}" destId="{B1431001-92BA-4816-82B0-40AE219EEF92}" srcOrd="3" destOrd="0" presId="urn:microsoft.com/office/officeart/2005/8/layout/cycle1"/>
    <dgm:cxn modelId="{8D81063F-FB4F-4BFA-A9AB-7BA4BE1412E0}" type="presParOf" srcId="{E5B5FD0D-7370-422E-BA89-49B477E7645F}" destId="{02537675-0208-435E-819D-2395D5312152}" srcOrd="4" destOrd="0" presId="urn:microsoft.com/office/officeart/2005/8/layout/cycle1"/>
    <dgm:cxn modelId="{AD1DCC33-2592-4186-92D4-F3F0B880EE66}" type="presParOf" srcId="{E5B5FD0D-7370-422E-BA89-49B477E7645F}" destId="{A5DF4FF7-E4A9-469D-91B3-F6B92716E3B8}" srcOrd="5" destOrd="0" presId="urn:microsoft.com/office/officeart/2005/8/layout/cycle1"/>
    <dgm:cxn modelId="{A2F64329-7243-4F29-BF92-B116B63EF496}" type="presParOf" srcId="{E5B5FD0D-7370-422E-BA89-49B477E7645F}" destId="{0E099CE3-D1BC-4EAE-BC8F-B92606CAB5DE}" srcOrd="6" destOrd="0" presId="urn:microsoft.com/office/officeart/2005/8/layout/cycle1"/>
    <dgm:cxn modelId="{368910CD-6999-4093-B1C5-9151B85F0025}" type="presParOf" srcId="{E5B5FD0D-7370-422E-BA89-49B477E7645F}" destId="{67649355-A886-42A3-8AC4-7E48F52BD640}" srcOrd="7" destOrd="0" presId="urn:microsoft.com/office/officeart/2005/8/layout/cycle1"/>
    <dgm:cxn modelId="{6ED20F42-8E7B-4830-8541-377DDA65553A}" type="presParOf" srcId="{E5B5FD0D-7370-422E-BA89-49B477E7645F}" destId="{129515AB-479B-4D9A-8B59-820D3F2D6335}" srcOrd="8" destOrd="0" presId="urn:microsoft.com/office/officeart/2005/8/layout/cycle1"/>
    <dgm:cxn modelId="{B0ACF160-7159-4CB3-87A8-3A57EE1E0687}" type="presParOf" srcId="{E5B5FD0D-7370-422E-BA89-49B477E7645F}" destId="{70270A25-9486-4432-925A-2617CCF0FACD}" srcOrd="9" destOrd="0" presId="urn:microsoft.com/office/officeart/2005/8/layout/cycle1"/>
    <dgm:cxn modelId="{4EF68BE7-80FE-4868-942B-FB0F28D753EE}" type="presParOf" srcId="{E5B5FD0D-7370-422E-BA89-49B477E7645F}" destId="{723BA1F9-0E17-4A1A-92C1-9BF6F18C1F32}" srcOrd="10" destOrd="0" presId="urn:microsoft.com/office/officeart/2005/8/layout/cycle1"/>
    <dgm:cxn modelId="{4D048303-FA59-4ECD-B6A6-2026F1A31C5F}" type="presParOf" srcId="{E5B5FD0D-7370-422E-BA89-49B477E7645F}" destId="{91AFDD2B-3BF1-42C6-8874-CAC191353421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57A88A-58F7-469F-A375-5E257140C458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C430209-DA46-428D-BCBB-6B6794BECA54}">
      <dgm:prSet phldrT="[Text]" custT="1"/>
      <dgm:spPr/>
      <dgm:t>
        <a:bodyPr/>
        <a:lstStyle/>
        <a:p>
          <a:r>
            <a:rPr lang="ro-RO" sz="1200"/>
            <a:t>Reducerea deseurilor la sursa</a:t>
          </a:r>
        </a:p>
      </dgm:t>
    </dgm:pt>
    <dgm:pt modelId="{2E065FD2-FF8A-4A93-9E88-7C5EB583BE1F}" type="parTrans" cxnId="{4A7E07FE-124B-49D6-B75C-9E3D85FB9EBA}">
      <dgm:prSet/>
      <dgm:spPr/>
      <dgm:t>
        <a:bodyPr/>
        <a:lstStyle/>
        <a:p>
          <a:endParaRPr lang="en-US" sz="1200"/>
        </a:p>
      </dgm:t>
    </dgm:pt>
    <dgm:pt modelId="{28DF04D7-AAB3-4089-B0B3-13DA5EFBA782}" type="sibTrans" cxnId="{4A7E07FE-124B-49D6-B75C-9E3D85FB9EBA}">
      <dgm:prSet/>
      <dgm:spPr/>
      <dgm:t>
        <a:bodyPr/>
        <a:lstStyle/>
        <a:p>
          <a:endParaRPr lang="en-US" sz="1200"/>
        </a:p>
      </dgm:t>
    </dgm:pt>
    <dgm:pt modelId="{FD0C15DD-83E3-4C73-8861-A5BB70B5CD33}">
      <dgm:prSet phldrT="[Text]" custT="1"/>
      <dgm:spPr/>
      <dgm:t>
        <a:bodyPr/>
        <a:lstStyle/>
        <a:p>
          <a:r>
            <a:rPr lang="ro-RO" sz="1200"/>
            <a:t>Reutilizarea, reciclarea sau recuperarea la locatie sau cu ajutorul operatorilor economici selectati</a:t>
          </a:r>
        </a:p>
      </dgm:t>
    </dgm:pt>
    <dgm:pt modelId="{8ECB44CB-5CF3-438E-9928-F046CA54B555}" type="parTrans" cxnId="{27ADDDCF-5BF6-4061-BE48-DB9E0C7F4F51}">
      <dgm:prSet/>
      <dgm:spPr/>
      <dgm:t>
        <a:bodyPr/>
        <a:lstStyle/>
        <a:p>
          <a:endParaRPr lang="en-US" sz="1200"/>
        </a:p>
      </dgm:t>
    </dgm:pt>
    <dgm:pt modelId="{37A9AB6C-0346-47BC-9830-663137988EF3}" type="sibTrans" cxnId="{27ADDDCF-5BF6-4061-BE48-DB9E0C7F4F51}">
      <dgm:prSet/>
      <dgm:spPr/>
      <dgm:t>
        <a:bodyPr/>
        <a:lstStyle/>
        <a:p>
          <a:endParaRPr lang="en-US" sz="1200"/>
        </a:p>
      </dgm:t>
    </dgm:pt>
    <dgm:pt modelId="{70C5A80B-406F-4062-9006-D655007169D6}">
      <dgm:prSet phldrT="[Text]" custT="1"/>
      <dgm:spPr/>
      <dgm:t>
        <a:bodyPr/>
        <a:lstStyle/>
        <a:p>
          <a:r>
            <a:rPr lang="ro-RO" sz="1200"/>
            <a:t>Incinerarea</a:t>
          </a:r>
        </a:p>
      </dgm:t>
    </dgm:pt>
    <dgm:pt modelId="{5E833F2A-A3CF-44FC-96B8-D0BB24EA429F}" type="parTrans" cxnId="{746B5737-E083-45EA-8FF3-EDFADC5850F1}">
      <dgm:prSet/>
      <dgm:spPr/>
      <dgm:t>
        <a:bodyPr/>
        <a:lstStyle/>
        <a:p>
          <a:endParaRPr lang="en-US" sz="1200"/>
        </a:p>
      </dgm:t>
    </dgm:pt>
    <dgm:pt modelId="{5591B56F-D2FF-4BDA-89EF-AD5F90F9772E}" type="sibTrans" cxnId="{746B5737-E083-45EA-8FF3-EDFADC5850F1}">
      <dgm:prSet/>
      <dgm:spPr/>
      <dgm:t>
        <a:bodyPr/>
        <a:lstStyle/>
        <a:p>
          <a:endParaRPr lang="en-US" sz="1200"/>
        </a:p>
      </dgm:t>
    </dgm:pt>
    <dgm:pt modelId="{CDED1527-E527-4EB4-82E9-16FA11F66B85}">
      <dgm:prSet custT="1"/>
      <dgm:spPr/>
      <dgm:t>
        <a:bodyPr/>
        <a:lstStyle/>
        <a:p>
          <a:r>
            <a:rPr lang="ro-RO" sz="1200"/>
            <a:t>Transportarea deseurilor la gropile de gunoi ecologice ca o ultima solutie</a:t>
          </a:r>
        </a:p>
      </dgm:t>
    </dgm:pt>
    <dgm:pt modelId="{3CDCB673-4C53-4757-8D1A-B4EEC1E6DBFD}" type="parTrans" cxnId="{851C9731-5479-454B-BC2B-927942F8497D}">
      <dgm:prSet/>
      <dgm:spPr/>
      <dgm:t>
        <a:bodyPr/>
        <a:lstStyle/>
        <a:p>
          <a:endParaRPr lang="en-US"/>
        </a:p>
      </dgm:t>
    </dgm:pt>
    <dgm:pt modelId="{976F0C50-86F2-4627-B2B3-C6E846C174ED}" type="sibTrans" cxnId="{851C9731-5479-454B-BC2B-927942F8497D}">
      <dgm:prSet/>
      <dgm:spPr/>
      <dgm:t>
        <a:bodyPr/>
        <a:lstStyle/>
        <a:p>
          <a:endParaRPr lang="en-US"/>
        </a:p>
      </dgm:t>
    </dgm:pt>
    <dgm:pt modelId="{FA8DE8B8-7D20-4E5B-BBA7-BD141935A125}" type="pres">
      <dgm:prSet presAssocID="{6557A88A-58F7-469F-A375-5E257140C458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78A02EDF-0B9E-443D-927F-3D9617460D89}" type="pres">
      <dgm:prSet presAssocID="{6557A88A-58F7-469F-A375-5E257140C458}" presName="Name1" presStyleCnt="0"/>
      <dgm:spPr/>
    </dgm:pt>
    <dgm:pt modelId="{A21F4B40-7CC2-46C7-BD8F-8AEFA5878E12}" type="pres">
      <dgm:prSet presAssocID="{6557A88A-58F7-469F-A375-5E257140C458}" presName="cycle" presStyleCnt="0"/>
      <dgm:spPr/>
    </dgm:pt>
    <dgm:pt modelId="{2694755F-818E-4781-A300-C4A6879727FC}" type="pres">
      <dgm:prSet presAssocID="{6557A88A-58F7-469F-A375-5E257140C458}" presName="srcNode" presStyleLbl="node1" presStyleIdx="0" presStyleCnt="4"/>
      <dgm:spPr/>
    </dgm:pt>
    <dgm:pt modelId="{5A2BE2A8-E159-4D42-8499-D4C21E8A0E89}" type="pres">
      <dgm:prSet presAssocID="{6557A88A-58F7-469F-A375-5E257140C458}" presName="conn" presStyleLbl="parChTrans1D2" presStyleIdx="0" presStyleCnt="1"/>
      <dgm:spPr/>
      <dgm:t>
        <a:bodyPr/>
        <a:lstStyle/>
        <a:p>
          <a:endParaRPr lang="en-US"/>
        </a:p>
      </dgm:t>
    </dgm:pt>
    <dgm:pt modelId="{777F5847-B602-4844-B7C0-C84153A9BB52}" type="pres">
      <dgm:prSet presAssocID="{6557A88A-58F7-469F-A375-5E257140C458}" presName="extraNode" presStyleLbl="node1" presStyleIdx="0" presStyleCnt="4"/>
      <dgm:spPr/>
    </dgm:pt>
    <dgm:pt modelId="{E333A715-488F-4464-8ACF-777847F76EF7}" type="pres">
      <dgm:prSet presAssocID="{6557A88A-58F7-469F-A375-5E257140C458}" presName="dstNode" presStyleLbl="node1" presStyleIdx="0" presStyleCnt="4"/>
      <dgm:spPr/>
    </dgm:pt>
    <dgm:pt modelId="{FFE92232-08ED-4363-813B-CD8371412181}" type="pres">
      <dgm:prSet presAssocID="{FC430209-DA46-428D-BCBB-6B6794BECA54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601C28-93CC-452C-8A70-21EF958A59DB}" type="pres">
      <dgm:prSet presAssocID="{FC430209-DA46-428D-BCBB-6B6794BECA54}" presName="accent_1" presStyleCnt="0"/>
      <dgm:spPr/>
    </dgm:pt>
    <dgm:pt modelId="{312B219C-F2F1-4738-AC0C-ABB31620889B}" type="pres">
      <dgm:prSet presAssocID="{FC430209-DA46-428D-BCBB-6B6794BECA54}" presName="accentRepeatNode" presStyleLbl="solidFgAcc1" presStyleIdx="0" presStyleCnt="4"/>
      <dgm:spPr/>
    </dgm:pt>
    <dgm:pt modelId="{8140B4A3-D1B4-4DE6-AA49-2BA3D1330796}" type="pres">
      <dgm:prSet presAssocID="{FD0C15DD-83E3-4C73-8861-A5BB70B5CD33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86285B-902B-4299-9280-CABBB6BC3022}" type="pres">
      <dgm:prSet presAssocID="{FD0C15DD-83E3-4C73-8861-A5BB70B5CD33}" presName="accent_2" presStyleCnt="0"/>
      <dgm:spPr/>
    </dgm:pt>
    <dgm:pt modelId="{52DAD801-9BED-4718-8E69-98480E5BBC07}" type="pres">
      <dgm:prSet presAssocID="{FD0C15DD-83E3-4C73-8861-A5BB70B5CD33}" presName="accentRepeatNode" presStyleLbl="solidFgAcc1" presStyleIdx="1" presStyleCnt="4"/>
      <dgm:spPr/>
    </dgm:pt>
    <dgm:pt modelId="{09925DE1-FE97-42E7-B37B-0EF0E3D998F5}" type="pres">
      <dgm:prSet presAssocID="{70C5A80B-406F-4062-9006-D655007169D6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28A49-348A-44B6-8EF5-744FD25E3285}" type="pres">
      <dgm:prSet presAssocID="{70C5A80B-406F-4062-9006-D655007169D6}" presName="accent_3" presStyleCnt="0"/>
      <dgm:spPr/>
    </dgm:pt>
    <dgm:pt modelId="{F7FE885E-597E-487C-9974-9330F4F34512}" type="pres">
      <dgm:prSet presAssocID="{70C5A80B-406F-4062-9006-D655007169D6}" presName="accentRepeatNode" presStyleLbl="solidFgAcc1" presStyleIdx="2" presStyleCnt="4"/>
      <dgm:spPr/>
    </dgm:pt>
    <dgm:pt modelId="{65BC2373-FA5E-483D-B941-C58037A7E106}" type="pres">
      <dgm:prSet presAssocID="{CDED1527-E527-4EB4-82E9-16FA11F66B85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B72F3F-275F-4162-AD3A-651D4F98CCE1}" type="pres">
      <dgm:prSet presAssocID="{CDED1527-E527-4EB4-82E9-16FA11F66B85}" presName="accent_4" presStyleCnt="0"/>
      <dgm:spPr/>
    </dgm:pt>
    <dgm:pt modelId="{DE91316D-C15D-4A66-99E8-4D8D4A6E5EEB}" type="pres">
      <dgm:prSet presAssocID="{CDED1527-E527-4EB4-82E9-16FA11F66B85}" presName="accentRepeatNode" presStyleLbl="solidFgAcc1" presStyleIdx="3" presStyleCnt="4"/>
      <dgm:spPr/>
    </dgm:pt>
  </dgm:ptLst>
  <dgm:cxnLst>
    <dgm:cxn modelId="{33287FCA-EC47-4066-93CC-4EFE89B7009E}" type="presOf" srcId="{FD0C15DD-83E3-4C73-8861-A5BB70B5CD33}" destId="{8140B4A3-D1B4-4DE6-AA49-2BA3D1330796}" srcOrd="0" destOrd="0" presId="urn:microsoft.com/office/officeart/2008/layout/VerticalCurvedList"/>
    <dgm:cxn modelId="{27ADDDCF-5BF6-4061-BE48-DB9E0C7F4F51}" srcId="{6557A88A-58F7-469F-A375-5E257140C458}" destId="{FD0C15DD-83E3-4C73-8861-A5BB70B5CD33}" srcOrd="1" destOrd="0" parTransId="{8ECB44CB-5CF3-438E-9928-F046CA54B555}" sibTransId="{37A9AB6C-0346-47BC-9830-663137988EF3}"/>
    <dgm:cxn modelId="{21EC44D0-5A50-4313-8A1D-83C8E9561D43}" type="presOf" srcId="{70C5A80B-406F-4062-9006-D655007169D6}" destId="{09925DE1-FE97-42E7-B37B-0EF0E3D998F5}" srcOrd="0" destOrd="0" presId="urn:microsoft.com/office/officeart/2008/layout/VerticalCurvedList"/>
    <dgm:cxn modelId="{4A7E07FE-124B-49D6-B75C-9E3D85FB9EBA}" srcId="{6557A88A-58F7-469F-A375-5E257140C458}" destId="{FC430209-DA46-428D-BCBB-6B6794BECA54}" srcOrd="0" destOrd="0" parTransId="{2E065FD2-FF8A-4A93-9E88-7C5EB583BE1F}" sibTransId="{28DF04D7-AAB3-4089-B0B3-13DA5EFBA782}"/>
    <dgm:cxn modelId="{746B5737-E083-45EA-8FF3-EDFADC5850F1}" srcId="{6557A88A-58F7-469F-A375-5E257140C458}" destId="{70C5A80B-406F-4062-9006-D655007169D6}" srcOrd="2" destOrd="0" parTransId="{5E833F2A-A3CF-44FC-96B8-D0BB24EA429F}" sibTransId="{5591B56F-D2FF-4BDA-89EF-AD5F90F9772E}"/>
    <dgm:cxn modelId="{54F148B4-0F68-4CD8-AC94-2CC5E8984561}" type="presOf" srcId="{28DF04D7-AAB3-4089-B0B3-13DA5EFBA782}" destId="{5A2BE2A8-E159-4D42-8499-D4C21E8A0E89}" srcOrd="0" destOrd="0" presId="urn:microsoft.com/office/officeart/2008/layout/VerticalCurvedList"/>
    <dgm:cxn modelId="{12C17E57-CC23-4714-8158-8F69E5E36C8F}" type="presOf" srcId="{CDED1527-E527-4EB4-82E9-16FA11F66B85}" destId="{65BC2373-FA5E-483D-B941-C58037A7E106}" srcOrd="0" destOrd="0" presId="urn:microsoft.com/office/officeart/2008/layout/VerticalCurvedList"/>
    <dgm:cxn modelId="{512AF798-2348-4784-AE45-608D4F73B103}" type="presOf" srcId="{6557A88A-58F7-469F-A375-5E257140C458}" destId="{FA8DE8B8-7D20-4E5B-BBA7-BD141935A125}" srcOrd="0" destOrd="0" presId="urn:microsoft.com/office/officeart/2008/layout/VerticalCurvedList"/>
    <dgm:cxn modelId="{0EABFAB9-03CC-4A3C-9C43-CBACEBA1C6A4}" type="presOf" srcId="{FC430209-DA46-428D-BCBB-6B6794BECA54}" destId="{FFE92232-08ED-4363-813B-CD8371412181}" srcOrd="0" destOrd="0" presId="urn:microsoft.com/office/officeart/2008/layout/VerticalCurvedList"/>
    <dgm:cxn modelId="{851C9731-5479-454B-BC2B-927942F8497D}" srcId="{6557A88A-58F7-469F-A375-5E257140C458}" destId="{CDED1527-E527-4EB4-82E9-16FA11F66B85}" srcOrd="3" destOrd="0" parTransId="{3CDCB673-4C53-4757-8D1A-B4EEC1E6DBFD}" sibTransId="{976F0C50-86F2-4627-B2B3-C6E846C174ED}"/>
    <dgm:cxn modelId="{670D36F4-8D89-44D4-A792-28E5C434D24A}" type="presParOf" srcId="{FA8DE8B8-7D20-4E5B-BBA7-BD141935A125}" destId="{78A02EDF-0B9E-443D-927F-3D9617460D89}" srcOrd="0" destOrd="0" presId="urn:microsoft.com/office/officeart/2008/layout/VerticalCurvedList"/>
    <dgm:cxn modelId="{CB1DEE0E-CBF8-488C-8726-6505FB8CCC8F}" type="presParOf" srcId="{78A02EDF-0B9E-443D-927F-3D9617460D89}" destId="{A21F4B40-7CC2-46C7-BD8F-8AEFA5878E12}" srcOrd="0" destOrd="0" presId="urn:microsoft.com/office/officeart/2008/layout/VerticalCurvedList"/>
    <dgm:cxn modelId="{713E24E9-ECEE-4452-82DC-23B1B47AA8E0}" type="presParOf" srcId="{A21F4B40-7CC2-46C7-BD8F-8AEFA5878E12}" destId="{2694755F-818E-4781-A300-C4A6879727FC}" srcOrd="0" destOrd="0" presId="urn:microsoft.com/office/officeart/2008/layout/VerticalCurvedList"/>
    <dgm:cxn modelId="{C986AEA3-5BAA-40A6-A72E-3FC8BF10B416}" type="presParOf" srcId="{A21F4B40-7CC2-46C7-BD8F-8AEFA5878E12}" destId="{5A2BE2A8-E159-4D42-8499-D4C21E8A0E89}" srcOrd="1" destOrd="0" presId="urn:microsoft.com/office/officeart/2008/layout/VerticalCurvedList"/>
    <dgm:cxn modelId="{A9DABABC-0275-4AEC-8E25-5A0C77D1F168}" type="presParOf" srcId="{A21F4B40-7CC2-46C7-BD8F-8AEFA5878E12}" destId="{777F5847-B602-4844-B7C0-C84153A9BB52}" srcOrd="2" destOrd="0" presId="urn:microsoft.com/office/officeart/2008/layout/VerticalCurvedList"/>
    <dgm:cxn modelId="{6507D7FC-282C-4FD2-8535-6960E1284CA9}" type="presParOf" srcId="{A21F4B40-7CC2-46C7-BD8F-8AEFA5878E12}" destId="{E333A715-488F-4464-8ACF-777847F76EF7}" srcOrd="3" destOrd="0" presId="urn:microsoft.com/office/officeart/2008/layout/VerticalCurvedList"/>
    <dgm:cxn modelId="{175F5AF4-EE73-4821-9D1C-9B48D7715D87}" type="presParOf" srcId="{78A02EDF-0B9E-443D-927F-3D9617460D89}" destId="{FFE92232-08ED-4363-813B-CD8371412181}" srcOrd="1" destOrd="0" presId="urn:microsoft.com/office/officeart/2008/layout/VerticalCurvedList"/>
    <dgm:cxn modelId="{F465B42B-A38D-43C1-8CDF-5032C5EBF431}" type="presParOf" srcId="{78A02EDF-0B9E-443D-927F-3D9617460D89}" destId="{DE601C28-93CC-452C-8A70-21EF958A59DB}" srcOrd="2" destOrd="0" presId="urn:microsoft.com/office/officeart/2008/layout/VerticalCurvedList"/>
    <dgm:cxn modelId="{B1ED49AB-4238-453C-B0C4-06FFAA922D17}" type="presParOf" srcId="{DE601C28-93CC-452C-8A70-21EF958A59DB}" destId="{312B219C-F2F1-4738-AC0C-ABB31620889B}" srcOrd="0" destOrd="0" presId="urn:microsoft.com/office/officeart/2008/layout/VerticalCurvedList"/>
    <dgm:cxn modelId="{3437C2A3-0CA7-4660-B7C6-9F565C53211E}" type="presParOf" srcId="{78A02EDF-0B9E-443D-927F-3D9617460D89}" destId="{8140B4A3-D1B4-4DE6-AA49-2BA3D1330796}" srcOrd="3" destOrd="0" presId="urn:microsoft.com/office/officeart/2008/layout/VerticalCurvedList"/>
    <dgm:cxn modelId="{D17FBE8C-766C-452F-9815-3FCE505843D1}" type="presParOf" srcId="{78A02EDF-0B9E-443D-927F-3D9617460D89}" destId="{BA86285B-902B-4299-9280-CABBB6BC3022}" srcOrd="4" destOrd="0" presId="urn:microsoft.com/office/officeart/2008/layout/VerticalCurvedList"/>
    <dgm:cxn modelId="{E730F89E-6416-4C53-AEC7-684E453A0219}" type="presParOf" srcId="{BA86285B-902B-4299-9280-CABBB6BC3022}" destId="{52DAD801-9BED-4718-8E69-98480E5BBC07}" srcOrd="0" destOrd="0" presId="urn:microsoft.com/office/officeart/2008/layout/VerticalCurvedList"/>
    <dgm:cxn modelId="{1D11AE89-7127-472E-B29F-EA1FA485BD83}" type="presParOf" srcId="{78A02EDF-0B9E-443D-927F-3D9617460D89}" destId="{09925DE1-FE97-42E7-B37B-0EF0E3D998F5}" srcOrd="5" destOrd="0" presId="urn:microsoft.com/office/officeart/2008/layout/VerticalCurvedList"/>
    <dgm:cxn modelId="{503B9441-C891-45F5-8902-853C2EE18A5C}" type="presParOf" srcId="{78A02EDF-0B9E-443D-927F-3D9617460D89}" destId="{64228A49-348A-44B6-8EF5-744FD25E3285}" srcOrd="6" destOrd="0" presId="urn:microsoft.com/office/officeart/2008/layout/VerticalCurvedList"/>
    <dgm:cxn modelId="{E5D51CD9-8B7B-4521-8F64-707DE30AC98E}" type="presParOf" srcId="{64228A49-348A-44B6-8EF5-744FD25E3285}" destId="{F7FE885E-597E-487C-9974-9330F4F34512}" srcOrd="0" destOrd="0" presId="urn:microsoft.com/office/officeart/2008/layout/VerticalCurvedList"/>
    <dgm:cxn modelId="{3945330C-49AD-4C93-9526-7D0483EB9EA7}" type="presParOf" srcId="{78A02EDF-0B9E-443D-927F-3D9617460D89}" destId="{65BC2373-FA5E-483D-B941-C58037A7E106}" srcOrd="7" destOrd="0" presId="urn:microsoft.com/office/officeart/2008/layout/VerticalCurvedList"/>
    <dgm:cxn modelId="{E8CD3D0C-164C-442B-A7A0-FC65A3BF4422}" type="presParOf" srcId="{78A02EDF-0B9E-443D-927F-3D9617460D89}" destId="{C4B72F3F-275F-4162-AD3A-651D4F98CCE1}" srcOrd="8" destOrd="0" presId="urn:microsoft.com/office/officeart/2008/layout/VerticalCurvedList"/>
    <dgm:cxn modelId="{5217A774-7AB7-44FD-9FB5-0353CD95BAC4}" type="presParOf" srcId="{C4B72F3F-275F-4162-AD3A-651D4F98CCE1}" destId="{DE91316D-C15D-4A66-99E8-4D8D4A6E5EE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BB77E6-DEB4-4021-9387-C6EBC63444D7}">
      <dsp:nvSpPr>
        <dsp:cNvPr id="0" name=""/>
        <dsp:cNvSpPr/>
      </dsp:nvSpPr>
      <dsp:spPr>
        <a:xfrm>
          <a:off x="3043256" y="261950"/>
          <a:ext cx="1441473" cy="633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/>
            <a:t>PREVENIREA</a:t>
          </a:r>
          <a:r>
            <a:rPr lang="ro-RO" sz="800" kern="1200"/>
            <a:t> repetarii incidentului prin luarea de masuri corective si impartasirea lectiilor invatate</a:t>
          </a:r>
        </a:p>
      </dsp:txBody>
      <dsp:txXfrm>
        <a:off x="3043256" y="261950"/>
        <a:ext cx="1441473" cy="633859"/>
      </dsp:txXfrm>
    </dsp:sp>
    <dsp:sp modelId="{1A8DC6FE-ECC8-4316-991B-388CB6C4D5E1}">
      <dsp:nvSpPr>
        <dsp:cNvPr id="0" name=""/>
        <dsp:cNvSpPr/>
      </dsp:nvSpPr>
      <dsp:spPr>
        <a:xfrm>
          <a:off x="1118542" y="279"/>
          <a:ext cx="3544807" cy="2903295"/>
        </a:xfrm>
        <a:prstGeom prst="circularArrow">
          <a:avLst>
            <a:gd name="adj1" fmla="val 6898"/>
            <a:gd name="adj2" fmla="val 465067"/>
            <a:gd name="adj3" fmla="val 550614"/>
            <a:gd name="adj4" fmla="val 19993779"/>
            <a:gd name="adj5" fmla="val 8048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537675-0208-435E-819D-2395D5312152}">
      <dsp:nvSpPr>
        <dsp:cNvPr id="0" name=""/>
        <dsp:cNvSpPr/>
      </dsp:nvSpPr>
      <dsp:spPr>
        <a:xfrm>
          <a:off x="3112143" y="1811427"/>
          <a:ext cx="1303698" cy="10270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/>
            <a:t>IMBUNATATIREA</a:t>
          </a:r>
          <a:r>
            <a:rPr lang="ro-RO" sz="800" kern="1200"/>
            <a:t> performantelor schimband metodele de operare, facand schimb de bune practici si luand in considerare toti factorii tehnici, umani si organizationali prin analiza colectiva aprofundata a incidentelor</a:t>
          </a:r>
        </a:p>
      </dsp:txBody>
      <dsp:txXfrm>
        <a:off x="3112143" y="1811427"/>
        <a:ext cx="1303698" cy="1027092"/>
      </dsp:txXfrm>
    </dsp:sp>
    <dsp:sp modelId="{A5DF4FF7-E4A9-469D-91B3-F6B92716E3B8}">
      <dsp:nvSpPr>
        <dsp:cNvPr id="0" name=""/>
        <dsp:cNvSpPr/>
      </dsp:nvSpPr>
      <dsp:spPr>
        <a:xfrm>
          <a:off x="1439298" y="279"/>
          <a:ext cx="2903295" cy="2903295"/>
        </a:xfrm>
        <a:prstGeom prst="circularArrow">
          <a:avLst>
            <a:gd name="adj1" fmla="val 6898"/>
            <a:gd name="adj2" fmla="val 465067"/>
            <a:gd name="adj3" fmla="val 5823478"/>
            <a:gd name="adj4" fmla="val 4780770"/>
            <a:gd name="adj5" fmla="val 8048"/>
          </a:avLst>
        </a:prstGeom>
        <a:solidFill>
          <a:schemeClr val="accent1">
            <a:shade val="50000"/>
            <a:hueOff val="184612"/>
            <a:satOff val="16664"/>
            <a:lumOff val="191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49355-A886-42A3-8AC4-7E48F52BD640}">
      <dsp:nvSpPr>
        <dsp:cNvPr id="0" name=""/>
        <dsp:cNvSpPr/>
      </dsp:nvSpPr>
      <dsp:spPr>
        <a:xfrm>
          <a:off x="1460434" y="1811427"/>
          <a:ext cx="1114929" cy="10270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/>
            <a:t>VALORIFICAREA</a:t>
          </a:r>
          <a:r>
            <a:rPr lang="ro-RO" sz="800" kern="1200"/>
            <a:t> contributiei pozitive a personalului operational la siguranta sarcinilor de lucru, a operatiunilor si a instalatiilor.</a:t>
          </a:r>
        </a:p>
      </dsp:txBody>
      <dsp:txXfrm>
        <a:off x="1460434" y="1811427"/>
        <a:ext cx="1114929" cy="1027092"/>
      </dsp:txXfrm>
    </dsp:sp>
    <dsp:sp modelId="{129515AB-479B-4D9A-8B59-820D3F2D6335}">
      <dsp:nvSpPr>
        <dsp:cNvPr id="0" name=""/>
        <dsp:cNvSpPr/>
      </dsp:nvSpPr>
      <dsp:spPr>
        <a:xfrm>
          <a:off x="895787" y="279"/>
          <a:ext cx="3990317" cy="2903295"/>
        </a:xfrm>
        <a:prstGeom prst="circularArrow">
          <a:avLst>
            <a:gd name="adj1" fmla="val 6898"/>
            <a:gd name="adj2" fmla="val 465067"/>
            <a:gd name="adj3" fmla="val 11609575"/>
            <a:gd name="adj4" fmla="val 9784319"/>
            <a:gd name="adj5" fmla="val 8048"/>
          </a:avLst>
        </a:prstGeom>
        <a:solidFill>
          <a:schemeClr val="accent1">
            <a:shade val="50000"/>
            <a:hueOff val="369225"/>
            <a:satOff val="33327"/>
            <a:lumOff val="383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3BA1F9-0E17-4A1A-92C1-9BF6F18C1F32}">
      <dsp:nvSpPr>
        <dsp:cNvPr id="0" name=""/>
        <dsp:cNvSpPr/>
      </dsp:nvSpPr>
      <dsp:spPr>
        <a:xfrm>
          <a:off x="1469724" y="153207"/>
          <a:ext cx="1096349" cy="8513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/>
            <a:t>IDENTIFICAREA</a:t>
          </a:r>
          <a:r>
            <a:rPr lang="ro-RO" sz="800" kern="1200"/>
            <a:t> factorilor care contribuie la aparitia incidentelor prin revenirea la analiza cauzelor de baza</a:t>
          </a:r>
        </a:p>
      </dsp:txBody>
      <dsp:txXfrm>
        <a:off x="1469724" y="153207"/>
        <a:ext cx="1096349" cy="851346"/>
      </dsp:txXfrm>
    </dsp:sp>
    <dsp:sp modelId="{91AFDD2B-3BF1-42C6-8874-CAC191353421}">
      <dsp:nvSpPr>
        <dsp:cNvPr id="0" name=""/>
        <dsp:cNvSpPr/>
      </dsp:nvSpPr>
      <dsp:spPr>
        <a:xfrm>
          <a:off x="1439298" y="279"/>
          <a:ext cx="2903295" cy="2903295"/>
        </a:xfrm>
        <a:prstGeom prst="circularArrow">
          <a:avLst>
            <a:gd name="adj1" fmla="val 6898"/>
            <a:gd name="adj2" fmla="val 465067"/>
            <a:gd name="adj3" fmla="val 16662776"/>
            <a:gd name="adj4" fmla="val 15284671"/>
            <a:gd name="adj5" fmla="val 8048"/>
          </a:avLst>
        </a:prstGeom>
        <a:solidFill>
          <a:schemeClr val="accent1">
            <a:shade val="50000"/>
            <a:hueOff val="184612"/>
            <a:satOff val="16664"/>
            <a:lumOff val="191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2BE2A8-E159-4D42-8499-D4C21E8A0E89}">
      <dsp:nvSpPr>
        <dsp:cNvPr id="0" name=""/>
        <dsp:cNvSpPr/>
      </dsp:nvSpPr>
      <dsp:spPr>
        <a:xfrm>
          <a:off x="-2023802" y="-313618"/>
          <a:ext cx="2419207" cy="2419207"/>
        </a:xfrm>
        <a:prstGeom prst="blockArc">
          <a:avLst>
            <a:gd name="adj1" fmla="val 18900000"/>
            <a:gd name="adj2" fmla="val 2700000"/>
            <a:gd name="adj3" fmla="val 893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92232-08ED-4363-813B-CD8371412181}">
      <dsp:nvSpPr>
        <dsp:cNvPr id="0" name=""/>
        <dsp:cNvSpPr/>
      </dsp:nvSpPr>
      <dsp:spPr>
        <a:xfrm>
          <a:off x="207919" y="137766"/>
          <a:ext cx="5710440" cy="275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881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Reducerea deseurilor la sursa</a:t>
          </a:r>
        </a:p>
      </dsp:txBody>
      <dsp:txXfrm>
        <a:off x="207919" y="137766"/>
        <a:ext cx="5710440" cy="275676"/>
      </dsp:txXfrm>
    </dsp:sp>
    <dsp:sp modelId="{312B219C-F2F1-4738-AC0C-ABB31620889B}">
      <dsp:nvSpPr>
        <dsp:cNvPr id="0" name=""/>
        <dsp:cNvSpPr/>
      </dsp:nvSpPr>
      <dsp:spPr>
        <a:xfrm>
          <a:off x="35621" y="103307"/>
          <a:ext cx="344595" cy="3445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40B4A3-D1B4-4DE6-AA49-2BA3D1330796}">
      <dsp:nvSpPr>
        <dsp:cNvPr id="0" name=""/>
        <dsp:cNvSpPr/>
      </dsp:nvSpPr>
      <dsp:spPr>
        <a:xfrm>
          <a:off x="365971" y="551353"/>
          <a:ext cx="5552388" cy="275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881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Reutilizarea, reciclarea sau recuperarea la locatie sau cu ajutorul operatorilor economici selectati</a:t>
          </a:r>
        </a:p>
      </dsp:txBody>
      <dsp:txXfrm>
        <a:off x="365971" y="551353"/>
        <a:ext cx="5552388" cy="275676"/>
      </dsp:txXfrm>
    </dsp:sp>
    <dsp:sp modelId="{52DAD801-9BED-4718-8E69-98480E5BBC07}">
      <dsp:nvSpPr>
        <dsp:cNvPr id="0" name=""/>
        <dsp:cNvSpPr/>
      </dsp:nvSpPr>
      <dsp:spPr>
        <a:xfrm>
          <a:off x="193673" y="516893"/>
          <a:ext cx="344595" cy="3445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925DE1-FE97-42E7-B37B-0EF0E3D998F5}">
      <dsp:nvSpPr>
        <dsp:cNvPr id="0" name=""/>
        <dsp:cNvSpPr/>
      </dsp:nvSpPr>
      <dsp:spPr>
        <a:xfrm>
          <a:off x="365971" y="964940"/>
          <a:ext cx="5552388" cy="275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881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Incinerarea</a:t>
          </a:r>
        </a:p>
      </dsp:txBody>
      <dsp:txXfrm>
        <a:off x="365971" y="964940"/>
        <a:ext cx="5552388" cy="275676"/>
      </dsp:txXfrm>
    </dsp:sp>
    <dsp:sp modelId="{F7FE885E-597E-487C-9974-9330F4F34512}">
      <dsp:nvSpPr>
        <dsp:cNvPr id="0" name=""/>
        <dsp:cNvSpPr/>
      </dsp:nvSpPr>
      <dsp:spPr>
        <a:xfrm>
          <a:off x="193673" y="930480"/>
          <a:ext cx="344595" cy="3445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C2373-FA5E-483D-B941-C58037A7E106}">
      <dsp:nvSpPr>
        <dsp:cNvPr id="0" name=""/>
        <dsp:cNvSpPr/>
      </dsp:nvSpPr>
      <dsp:spPr>
        <a:xfrm>
          <a:off x="207919" y="1378526"/>
          <a:ext cx="5710440" cy="275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881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Transportarea deseurilor la gropile de gunoi ecologice ca o ultima solutie</a:t>
          </a:r>
        </a:p>
      </dsp:txBody>
      <dsp:txXfrm>
        <a:off x="207919" y="1378526"/>
        <a:ext cx="5710440" cy="275676"/>
      </dsp:txXfrm>
    </dsp:sp>
    <dsp:sp modelId="{DE91316D-C15D-4A66-99E8-4D8D4A6E5EEB}">
      <dsp:nvSpPr>
        <dsp:cNvPr id="0" name=""/>
        <dsp:cNvSpPr/>
      </dsp:nvSpPr>
      <dsp:spPr>
        <a:xfrm>
          <a:off x="35621" y="1344067"/>
          <a:ext cx="344595" cy="3445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59A9F2"/>
      </a:accent1>
      <a:accent2>
        <a:srgbClr val="0B5394"/>
      </a:accent2>
      <a:accent3>
        <a:srgbClr val="104864"/>
      </a:accent3>
      <a:accent4>
        <a:srgbClr val="7CCA62"/>
      </a:accent4>
      <a:accent5>
        <a:srgbClr val="54A838"/>
      </a:accent5>
      <a:accent6>
        <a:srgbClr val="387025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www.zentiva,ro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63369-30BD-464E-96C8-0A05B311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Scrisoare Engleza</Template>
  <TotalTime>38</TotalTime>
  <Pages>19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Zentiva 
Exercitiul financiar 2018</vt:lpstr>
    </vt:vector>
  </TitlesOfParts>
  <Company>Advertisement</Company>
  <LinksUpToDate>false</LinksUpToDate>
  <CharactersWithSpaces>42642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Zentiva 
Exercitiul financiar 2018</dc:title>
  <dc:subject>Raport non-financiar</dc:subject>
  <dc:creator>Zentiva</dc:creator>
  <cp:lastModifiedBy>Neagu, Marius /RO</cp:lastModifiedBy>
  <cp:revision>13</cp:revision>
  <cp:lastPrinted>2019-06-26T14:34:00Z</cp:lastPrinted>
  <dcterms:created xsi:type="dcterms:W3CDTF">2019-06-27T13:28:00Z</dcterms:created>
  <dcterms:modified xsi:type="dcterms:W3CDTF">2019-06-28T10:26:00Z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